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0CE4A" w14:textId="7AB64BE7" w:rsidR="000B0E33" w:rsidRDefault="00123170" w:rsidP="000B0E33">
      <w:pPr>
        <w:jc w:val="center"/>
      </w:pPr>
      <w:bookmarkStart w:id="0" w:name="_GoBack"/>
      <w:bookmarkEnd w:id="0"/>
      <w:r w:rsidRPr="00F50627">
        <w:rPr>
          <w:b/>
          <w:bCs/>
          <w:i/>
          <w:iCs/>
          <w:noProof/>
          <w:sz w:val="24"/>
          <w:szCs w:val="15"/>
          <w:lang w:eastAsia="ro-RO"/>
        </w:rPr>
        <w:drawing>
          <wp:anchor distT="0" distB="0" distL="114300" distR="114300" simplePos="0" relativeHeight="251639807" behindDoc="1" locked="0" layoutInCell="1" allowOverlap="1" wp14:anchorId="13AC1E4B" wp14:editId="3E8ACD16">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61470" cy="1126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eastAsia="ro-RO"/>
        </w:rPr>
        <w:drawing>
          <wp:anchor distT="0" distB="0" distL="114300" distR="114300" simplePos="0" relativeHeight="251933696" behindDoc="0" locked="0" layoutInCell="1" allowOverlap="1" wp14:anchorId="28DE11E7" wp14:editId="06DBF30A">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bookmarkStart w:id="1" w:name="_Hlk86660867"/>
      <w:bookmarkEnd w:id="1"/>
    </w:p>
    <w:p w14:paraId="01B126FA" w14:textId="52A3999D" w:rsidR="0099798C" w:rsidRPr="0099798C" w:rsidRDefault="0099798C" w:rsidP="0099798C">
      <w:pPr>
        <w:jc w:val="center"/>
        <w:rPr>
          <w:noProof/>
          <w:lang w:eastAsia="ro-RO"/>
        </w:rPr>
      </w:pPr>
    </w:p>
    <w:p w14:paraId="1EA76261" w14:textId="0C514B4F" w:rsidR="003B1D81" w:rsidRPr="003B1D81" w:rsidRDefault="00F16F29" w:rsidP="003B1D81">
      <w:pPr>
        <w:jc w:val="center"/>
      </w:pPr>
      <w:r>
        <w:rPr>
          <w:noProof/>
          <w:lang w:eastAsia="ro-RO"/>
        </w:rPr>
        <w:t xml:space="preserve"> </w:t>
      </w:r>
    </w:p>
    <w:p w14:paraId="580662F4" w14:textId="4717A624" w:rsidR="008451CE" w:rsidRDefault="008451CE" w:rsidP="008451CE">
      <w:pPr>
        <w:jc w:val="center"/>
      </w:pPr>
    </w:p>
    <w:p w14:paraId="629A3BEC" w14:textId="501F1FC9" w:rsidR="00697BDC" w:rsidRDefault="00697BDC" w:rsidP="00FE7328">
      <w:pPr>
        <w:ind w:right="198"/>
        <w:jc w:val="center"/>
      </w:pPr>
    </w:p>
    <w:p w14:paraId="11AD33F6" w14:textId="4220E2B8" w:rsidR="00212894" w:rsidRPr="00863A3C" w:rsidRDefault="00C820B9" w:rsidP="00B2000B">
      <w:pPr>
        <w:ind w:right="198"/>
        <w:jc w:val="center"/>
      </w:pPr>
      <w:r>
        <w:rPr>
          <w:noProof/>
          <w:lang w:eastAsia="ro-RO"/>
        </w:rPr>
        <mc:AlternateContent>
          <mc:Choice Requires="wps">
            <w:drawing>
              <wp:anchor distT="0" distB="0" distL="114300" distR="114300" simplePos="0" relativeHeight="251640832" behindDoc="1" locked="0" layoutInCell="1" allowOverlap="1" wp14:anchorId="651C52AA" wp14:editId="1A544D15">
                <wp:simplePos x="0" y="0"/>
                <wp:positionH relativeFrom="column">
                  <wp:posOffset>240665</wp:posOffset>
                </wp:positionH>
                <wp:positionV relativeFrom="page">
                  <wp:posOffset>1638300</wp:posOffset>
                </wp:positionV>
                <wp:extent cx="6153785" cy="838200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20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06065" w:rsidRDefault="0030606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95pt;margin-top:129pt;width:484.55pt;height:6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" fillcolor="#cdddeb" strokecolor="gray" strokeweight="6.25pt">
                <v:fill opacity="52428f"/>
                <v:stroke linestyle="thickThin"/>
                <v:textbox>
                  <w:txbxContent>
                    <w:p w14:paraId="4D240BDE" w14:textId="77777777" w:rsidR="00306065" w:rsidRDefault="00306065" w:rsidP="005357F8"/>
                  </w:txbxContent>
                </v:textbox>
                <w10:wrap anchory="page"/>
              </v:rect>
            </w:pict>
          </mc:Fallback>
        </mc:AlternateContent>
      </w:r>
      <w:r w:rsidR="001D4A9D">
        <w:rPr>
          <w:rFonts w:ascii="Book Antiqua" w:hAnsi="Book Antiqua"/>
          <w:b/>
          <w:bCs/>
          <w:i/>
          <w:iCs/>
          <w:sz w:val="24"/>
          <w:szCs w:val="18"/>
        </w:rPr>
        <w:t xml:space="preserve"> </w:t>
      </w:r>
    </w:p>
    <w:p w14:paraId="0704C738" w14:textId="53933372"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6AD807CD" w:rsidR="0029188B" w:rsidRDefault="0029188B" w:rsidP="00B2000B">
      <w:pPr>
        <w:tabs>
          <w:tab w:val="left" w:pos="4170"/>
        </w:tabs>
        <w:spacing w:before="0"/>
        <w:ind w:right="198" w:firstLine="567"/>
        <w:jc w:val="both"/>
        <w:rPr>
          <w:rFonts w:ascii="Book Antiqua" w:hAnsi="Book Antiqua"/>
          <w:b/>
          <w:bCs/>
          <w:i/>
          <w:iCs/>
          <w:sz w:val="24"/>
          <w:szCs w:val="18"/>
        </w:rPr>
      </w:pPr>
    </w:p>
    <w:p w14:paraId="00270392" w14:textId="4F66EDE2"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5D8EC56"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31C45134" w14:textId="6D74437C" w:rsidR="003D0E04"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1B2604E4">
                <wp:simplePos x="0" y="0"/>
                <wp:positionH relativeFrom="column">
                  <wp:posOffset>-702310</wp:posOffset>
                </wp:positionH>
                <wp:positionV relativeFrom="page">
                  <wp:posOffset>9959340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515666B7" w:rsidR="00306065" w:rsidRDefault="0030606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23</w:t>
                            </w:r>
                          </w:p>
                          <w:p w14:paraId="300DDA87" w14:textId="7B34E686" w:rsidR="00306065" w:rsidRPr="005E3F6E" w:rsidRDefault="00306065"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12</w:t>
                            </w:r>
                            <w:r w:rsidRPr="00513108">
                              <w:rPr>
                                <w:rFonts w:ascii="Book Antiqua" w:hAnsi="Book Antiqua"/>
                                <w:b/>
                                <w:color w:val="000080"/>
                                <w:spacing w:val="10"/>
                                <w:szCs w:val="18"/>
                              </w:rPr>
                              <w:t xml:space="preserve">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84.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" stroked="f">
                <v:fill opacity="0"/>
                <v:textbox>
                  <w:txbxContent>
                    <w:p w14:paraId="3A783173" w14:textId="515666B7" w:rsidR="00306065" w:rsidRDefault="0030606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23</w:t>
                      </w:r>
                    </w:p>
                    <w:p w14:paraId="300DDA87" w14:textId="7B34E686" w:rsidR="00306065" w:rsidRPr="005E3F6E" w:rsidRDefault="00306065"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12</w:t>
                      </w:r>
                      <w:r w:rsidRPr="00513108">
                        <w:rPr>
                          <w:rFonts w:ascii="Book Antiqua" w:hAnsi="Book Antiqua"/>
                          <w:b/>
                          <w:color w:val="000080"/>
                          <w:spacing w:val="10"/>
                          <w:szCs w:val="18"/>
                        </w:rPr>
                        <w:t xml:space="preserve"> iunie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536BF40F" w14:textId="48955A5D"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24" w:history="1">
        <w:r w:rsidRPr="00226E3E">
          <w:rPr>
            <w:rStyle w:val="Hyperlink"/>
            <w:rFonts w:ascii="Book Antiqua" w:hAnsi="Book Antiqua"/>
          </w:rPr>
          <w:t xml:space="preserve">Repere din agenda publică a conducerii Instituţiei Prefectului -  Judeţul  Hunedoara  în  </w:t>
        </w:r>
        <w:r w:rsidRPr="00226E3E">
          <w:rPr>
            <w:rStyle w:val="Hyperlink"/>
            <w:rFonts w:ascii="Book Antiqua" w:hAnsi="Book Antiqua"/>
            <w:spacing w:val="-6"/>
          </w:rPr>
          <w:t>perioada  6 – 12 iunie  2022</w:t>
        </w:r>
        <w:r>
          <w:rPr>
            <w:webHidden/>
          </w:rPr>
          <w:tab/>
        </w:r>
        <w:r>
          <w:rPr>
            <w:webHidden/>
          </w:rPr>
          <w:fldChar w:fldCharType="begin"/>
        </w:r>
        <w:r>
          <w:rPr>
            <w:webHidden/>
          </w:rPr>
          <w:instrText xml:space="preserve"> PAGEREF _Toc106112224 \h </w:instrText>
        </w:r>
        <w:r>
          <w:rPr>
            <w:webHidden/>
          </w:rPr>
        </w:r>
        <w:r>
          <w:rPr>
            <w:webHidden/>
          </w:rPr>
          <w:fldChar w:fldCharType="separate"/>
        </w:r>
        <w:r w:rsidR="00AC2C5F">
          <w:rPr>
            <w:webHidden/>
          </w:rPr>
          <w:t>3</w:t>
        </w:r>
        <w:r>
          <w:rPr>
            <w:webHidden/>
          </w:rPr>
          <w:fldChar w:fldCharType="end"/>
        </w:r>
      </w:hyperlink>
    </w:p>
    <w:p w14:paraId="6F7EB7D1" w14:textId="3713A320"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25" w:history="1">
        <w:r w:rsidRPr="00226E3E">
          <w:rPr>
            <w:rStyle w:val="Hyperlink"/>
            <w:rFonts w:ascii="Book Antiqua" w:hAnsi="Book Antiqua"/>
            <w:spacing w:val="-6"/>
          </w:rPr>
          <w:t>Selec</w:t>
        </w:r>
        <w:r w:rsidRPr="00226E3E">
          <w:rPr>
            <w:rStyle w:val="Hyperlink"/>
            <w:rFonts w:ascii="Cambria" w:hAnsi="Cambria" w:cs="Cambria"/>
            <w:spacing w:val="-6"/>
          </w:rPr>
          <w:t>ț</w:t>
        </w:r>
        <w:r w:rsidRPr="00226E3E">
          <w:rPr>
            <w:rStyle w:val="Hyperlink"/>
            <w:rFonts w:ascii="Book Antiqua" w:hAnsi="Book Antiqua"/>
            <w:spacing w:val="-6"/>
          </w:rPr>
          <w:t>ie de Acte normative apărute în Monitorul Oficial al României</w:t>
        </w:r>
        <w:r w:rsidRPr="00226E3E">
          <w:rPr>
            <w:rStyle w:val="Hyperlink"/>
          </w:rPr>
          <w:t xml:space="preserve">  </w:t>
        </w:r>
        <w:r w:rsidRPr="00226E3E">
          <w:rPr>
            <w:rStyle w:val="Hyperlink"/>
            <w:rFonts w:ascii="Book Antiqua" w:hAnsi="Book Antiqua"/>
            <w:spacing w:val="-6"/>
          </w:rPr>
          <w:t>în perioada  6 – 10  iunie, 2022</w:t>
        </w:r>
        <w:r>
          <w:rPr>
            <w:webHidden/>
          </w:rPr>
          <w:tab/>
        </w:r>
        <w:r>
          <w:rPr>
            <w:webHidden/>
          </w:rPr>
          <w:fldChar w:fldCharType="begin"/>
        </w:r>
        <w:r>
          <w:rPr>
            <w:webHidden/>
          </w:rPr>
          <w:instrText xml:space="preserve"> PAGEREF _Toc106112225 \h </w:instrText>
        </w:r>
        <w:r>
          <w:rPr>
            <w:webHidden/>
          </w:rPr>
        </w:r>
        <w:r>
          <w:rPr>
            <w:webHidden/>
          </w:rPr>
          <w:fldChar w:fldCharType="separate"/>
        </w:r>
        <w:r w:rsidR="00AC2C5F">
          <w:rPr>
            <w:webHidden/>
          </w:rPr>
          <w:t>4</w:t>
        </w:r>
        <w:r>
          <w:rPr>
            <w:webHidden/>
          </w:rPr>
          <w:fldChar w:fldCharType="end"/>
        </w:r>
      </w:hyperlink>
    </w:p>
    <w:p w14:paraId="6B5EBAFE" w14:textId="625F798C"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26" w:history="1">
        <w:r w:rsidRPr="00226E3E">
          <w:rPr>
            <w:rStyle w:val="Hyperlink"/>
          </w:rPr>
          <w:t>Comunicate de presă ale Guvernului României</w:t>
        </w:r>
        <w:r>
          <w:rPr>
            <w:webHidden/>
          </w:rPr>
          <w:tab/>
        </w:r>
        <w:r>
          <w:rPr>
            <w:webHidden/>
          </w:rPr>
          <w:fldChar w:fldCharType="begin"/>
        </w:r>
        <w:r>
          <w:rPr>
            <w:webHidden/>
          </w:rPr>
          <w:instrText xml:space="preserve"> PAGEREF _Toc106112226 \h </w:instrText>
        </w:r>
        <w:r>
          <w:rPr>
            <w:webHidden/>
          </w:rPr>
        </w:r>
        <w:r>
          <w:rPr>
            <w:webHidden/>
          </w:rPr>
          <w:fldChar w:fldCharType="separate"/>
        </w:r>
        <w:r w:rsidR="00AC2C5F">
          <w:rPr>
            <w:webHidden/>
          </w:rPr>
          <w:t>5</w:t>
        </w:r>
        <w:r>
          <w:rPr>
            <w:webHidden/>
          </w:rPr>
          <w:fldChar w:fldCharType="end"/>
        </w:r>
      </w:hyperlink>
    </w:p>
    <w:p w14:paraId="2C389C09" w14:textId="40BC0251" w:rsidR="003D0E04" w:rsidRDefault="003D0E04">
      <w:pPr>
        <w:pStyle w:val="TOC4"/>
        <w:rPr>
          <w:rFonts w:asciiTheme="minorHAnsi" w:eastAsiaTheme="minorEastAsia" w:hAnsiTheme="minorHAnsi" w:cstheme="minorBidi"/>
          <w:sz w:val="22"/>
          <w:szCs w:val="22"/>
          <w:lang w:eastAsia="ro-RO"/>
        </w:rPr>
      </w:pPr>
      <w:hyperlink w:anchor="_Toc106112227" w:history="1">
        <w:r w:rsidRPr="00226E3E">
          <w:rPr>
            <w:rStyle w:val="Hyperlink"/>
          </w:rPr>
          <w:t>Participarea ministrului afacerilor interne, Lucian Bode, la secțiunea afaceri interne a Consiliului Justiție și Afaceri Interne, organizat de Președinția franceză a Consiliului Uniunii Europene</w:t>
        </w:r>
        <w:r>
          <w:rPr>
            <w:webHidden/>
          </w:rPr>
          <w:tab/>
        </w:r>
        <w:r>
          <w:rPr>
            <w:webHidden/>
          </w:rPr>
          <w:fldChar w:fldCharType="begin"/>
        </w:r>
        <w:r>
          <w:rPr>
            <w:webHidden/>
          </w:rPr>
          <w:instrText xml:space="preserve"> PAGEREF _Toc106112227 \h </w:instrText>
        </w:r>
        <w:r>
          <w:rPr>
            <w:webHidden/>
          </w:rPr>
        </w:r>
        <w:r>
          <w:rPr>
            <w:webHidden/>
          </w:rPr>
          <w:fldChar w:fldCharType="separate"/>
        </w:r>
        <w:r w:rsidR="00AC2C5F">
          <w:rPr>
            <w:webHidden/>
          </w:rPr>
          <w:t>5</w:t>
        </w:r>
        <w:r>
          <w:rPr>
            <w:webHidden/>
          </w:rPr>
          <w:fldChar w:fldCharType="end"/>
        </w:r>
      </w:hyperlink>
    </w:p>
    <w:p w14:paraId="12C6BF31" w14:textId="557360A5" w:rsidR="003D0E04" w:rsidRDefault="003D0E04">
      <w:pPr>
        <w:pStyle w:val="TOC4"/>
        <w:rPr>
          <w:rFonts w:asciiTheme="minorHAnsi" w:eastAsiaTheme="minorEastAsia" w:hAnsiTheme="minorHAnsi" w:cstheme="minorBidi"/>
          <w:sz w:val="22"/>
          <w:szCs w:val="22"/>
          <w:lang w:eastAsia="ro-RO"/>
        </w:rPr>
      </w:pPr>
      <w:hyperlink w:anchor="_Toc106112228" w:history="1">
        <w:r w:rsidRPr="00226E3E">
          <w:rPr>
            <w:rStyle w:val="Hyperlink"/>
          </w:rPr>
          <w:t>Participarea viceprim-ministrului și ministru al transporturilor și infrastructurii, Sorin Grindeanu, la Summitul șefilor de stat și de guvern participanți la Procesul de Cooperare în Europa de Sud-Est (SEECP)</w:t>
        </w:r>
        <w:r>
          <w:rPr>
            <w:webHidden/>
          </w:rPr>
          <w:tab/>
        </w:r>
        <w:r>
          <w:rPr>
            <w:webHidden/>
          </w:rPr>
          <w:fldChar w:fldCharType="begin"/>
        </w:r>
        <w:r>
          <w:rPr>
            <w:webHidden/>
          </w:rPr>
          <w:instrText xml:space="preserve"> PAGEREF _Toc106112228 \h </w:instrText>
        </w:r>
        <w:r>
          <w:rPr>
            <w:webHidden/>
          </w:rPr>
        </w:r>
        <w:r>
          <w:rPr>
            <w:webHidden/>
          </w:rPr>
          <w:fldChar w:fldCharType="separate"/>
        </w:r>
        <w:r w:rsidR="00AC2C5F">
          <w:rPr>
            <w:webHidden/>
          </w:rPr>
          <w:t>5</w:t>
        </w:r>
        <w:r>
          <w:rPr>
            <w:webHidden/>
          </w:rPr>
          <w:fldChar w:fldCharType="end"/>
        </w:r>
      </w:hyperlink>
    </w:p>
    <w:p w14:paraId="6DA17DEF" w14:textId="3A0873F1" w:rsidR="003D0E04" w:rsidRDefault="003D0E04">
      <w:pPr>
        <w:pStyle w:val="TOC4"/>
        <w:rPr>
          <w:rFonts w:asciiTheme="minorHAnsi" w:eastAsiaTheme="minorEastAsia" w:hAnsiTheme="minorHAnsi" w:cstheme="minorBidi"/>
          <w:sz w:val="22"/>
          <w:szCs w:val="22"/>
          <w:lang w:eastAsia="ro-RO"/>
        </w:rPr>
      </w:pPr>
      <w:hyperlink w:anchor="_Toc106112229" w:history="1">
        <w:r w:rsidRPr="00226E3E">
          <w:rPr>
            <w:rStyle w:val="Hyperlink"/>
          </w:rPr>
          <w:t>Foaia de Parcurs pentru aderarea României la OCDE, aprobată oficial</w:t>
        </w:r>
        <w:r>
          <w:rPr>
            <w:webHidden/>
          </w:rPr>
          <w:tab/>
        </w:r>
        <w:r>
          <w:rPr>
            <w:webHidden/>
          </w:rPr>
          <w:fldChar w:fldCharType="begin"/>
        </w:r>
        <w:r>
          <w:rPr>
            <w:webHidden/>
          </w:rPr>
          <w:instrText xml:space="preserve"> PAGEREF _Toc106112229 \h </w:instrText>
        </w:r>
        <w:r>
          <w:rPr>
            <w:webHidden/>
          </w:rPr>
        </w:r>
        <w:r>
          <w:rPr>
            <w:webHidden/>
          </w:rPr>
          <w:fldChar w:fldCharType="separate"/>
        </w:r>
        <w:r w:rsidR="00AC2C5F">
          <w:rPr>
            <w:webHidden/>
          </w:rPr>
          <w:t>6</w:t>
        </w:r>
        <w:r>
          <w:rPr>
            <w:webHidden/>
          </w:rPr>
          <w:fldChar w:fldCharType="end"/>
        </w:r>
      </w:hyperlink>
    </w:p>
    <w:p w14:paraId="6769306F" w14:textId="7CEA276D" w:rsidR="003D0E04" w:rsidRDefault="003D0E04">
      <w:pPr>
        <w:pStyle w:val="TOC4"/>
        <w:rPr>
          <w:rFonts w:asciiTheme="minorHAnsi" w:eastAsiaTheme="minorEastAsia" w:hAnsiTheme="minorHAnsi" w:cstheme="minorBidi"/>
          <w:sz w:val="22"/>
          <w:szCs w:val="22"/>
          <w:lang w:eastAsia="ro-RO"/>
        </w:rPr>
      </w:pPr>
      <w:hyperlink w:anchor="_Toc106112230" w:history="1">
        <w:r w:rsidRPr="00226E3E">
          <w:rPr>
            <w:rStyle w:val="Hyperlink"/>
          </w:rPr>
          <w:t>Premierul Nicolae-Ionel Ciucă a discutat cu reprezentanții AHK despre planurile de investiții germane în România</w:t>
        </w:r>
        <w:r>
          <w:rPr>
            <w:webHidden/>
          </w:rPr>
          <w:tab/>
        </w:r>
        <w:r>
          <w:rPr>
            <w:webHidden/>
          </w:rPr>
          <w:fldChar w:fldCharType="begin"/>
        </w:r>
        <w:r>
          <w:rPr>
            <w:webHidden/>
          </w:rPr>
          <w:instrText xml:space="preserve"> PAGEREF _Toc106112230 \h </w:instrText>
        </w:r>
        <w:r>
          <w:rPr>
            <w:webHidden/>
          </w:rPr>
        </w:r>
        <w:r>
          <w:rPr>
            <w:webHidden/>
          </w:rPr>
          <w:fldChar w:fldCharType="separate"/>
        </w:r>
        <w:r w:rsidR="00AC2C5F">
          <w:rPr>
            <w:webHidden/>
          </w:rPr>
          <w:t>7</w:t>
        </w:r>
        <w:r>
          <w:rPr>
            <w:webHidden/>
          </w:rPr>
          <w:fldChar w:fldCharType="end"/>
        </w:r>
      </w:hyperlink>
    </w:p>
    <w:p w14:paraId="497400D8" w14:textId="573DC9A9" w:rsidR="003D0E04" w:rsidRDefault="003D0E04">
      <w:pPr>
        <w:pStyle w:val="TOC4"/>
        <w:rPr>
          <w:rFonts w:asciiTheme="minorHAnsi" w:eastAsiaTheme="minorEastAsia" w:hAnsiTheme="minorHAnsi" w:cstheme="minorBidi"/>
          <w:sz w:val="22"/>
          <w:szCs w:val="22"/>
          <w:lang w:eastAsia="ro-RO"/>
        </w:rPr>
      </w:pPr>
      <w:hyperlink w:anchor="_Toc106112231" w:history="1">
        <w:r w:rsidRPr="00226E3E">
          <w:rPr>
            <w:rStyle w:val="Hyperlink"/>
          </w:rPr>
          <w:t>Întâlnirea premierului Nicolae-Ionel Ciucă cu delegația Fondului Monetar Internațional</w:t>
        </w:r>
        <w:r>
          <w:rPr>
            <w:webHidden/>
          </w:rPr>
          <w:tab/>
        </w:r>
        <w:r>
          <w:rPr>
            <w:webHidden/>
          </w:rPr>
          <w:fldChar w:fldCharType="begin"/>
        </w:r>
        <w:r>
          <w:rPr>
            <w:webHidden/>
          </w:rPr>
          <w:instrText xml:space="preserve"> PAGEREF _Toc106112231 \h </w:instrText>
        </w:r>
        <w:r>
          <w:rPr>
            <w:webHidden/>
          </w:rPr>
        </w:r>
        <w:r>
          <w:rPr>
            <w:webHidden/>
          </w:rPr>
          <w:fldChar w:fldCharType="separate"/>
        </w:r>
        <w:r w:rsidR="00AC2C5F">
          <w:rPr>
            <w:webHidden/>
          </w:rPr>
          <w:t>7</w:t>
        </w:r>
        <w:r>
          <w:rPr>
            <w:webHidden/>
          </w:rPr>
          <w:fldChar w:fldCharType="end"/>
        </w:r>
      </w:hyperlink>
    </w:p>
    <w:p w14:paraId="0251353D" w14:textId="212C1DE0" w:rsidR="003D0E04" w:rsidRDefault="003D0E04">
      <w:pPr>
        <w:pStyle w:val="TOC4"/>
        <w:rPr>
          <w:rFonts w:asciiTheme="minorHAnsi" w:eastAsiaTheme="minorEastAsia" w:hAnsiTheme="minorHAnsi" w:cstheme="minorBidi"/>
          <w:sz w:val="22"/>
          <w:szCs w:val="22"/>
          <w:lang w:eastAsia="ro-RO"/>
        </w:rPr>
      </w:pPr>
      <w:hyperlink w:anchor="_Toc106112232" w:history="1">
        <w:r w:rsidRPr="00226E3E">
          <w:rPr>
            <w:rStyle w:val="Hyperlink"/>
          </w:rPr>
          <w:t>Premierul Nicolae-Ionel Ciucă: Este nevoie să lucrăm împreună și să ne asumăm decizii curajoase pentru un mediu mai sănătos</w:t>
        </w:r>
        <w:r>
          <w:rPr>
            <w:webHidden/>
          </w:rPr>
          <w:tab/>
        </w:r>
        <w:r>
          <w:rPr>
            <w:webHidden/>
          </w:rPr>
          <w:fldChar w:fldCharType="begin"/>
        </w:r>
        <w:r>
          <w:rPr>
            <w:webHidden/>
          </w:rPr>
          <w:instrText xml:space="preserve"> PAGEREF _Toc106112232 \h </w:instrText>
        </w:r>
        <w:r>
          <w:rPr>
            <w:webHidden/>
          </w:rPr>
        </w:r>
        <w:r>
          <w:rPr>
            <w:webHidden/>
          </w:rPr>
          <w:fldChar w:fldCharType="separate"/>
        </w:r>
        <w:r w:rsidR="00AC2C5F">
          <w:rPr>
            <w:webHidden/>
          </w:rPr>
          <w:t>8</w:t>
        </w:r>
        <w:r>
          <w:rPr>
            <w:webHidden/>
          </w:rPr>
          <w:fldChar w:fldCharType="end"/>
        </w:r>
      </w:hyperlink>
    </w:p>
    <w:p w14:paraId="007425AD" w14:textId="71B31CBE" w:rsidR="003D0E04" w:rsidRDefault="003D0E04">
      <w:pPr>
        <w:pStyle w:val="TOC4"/>
        <w:rPr>
          <w:rFonts w:asciiTheme="minorHAnsi" w:eastAsiaTheme="minorEastAsia" w:hAnsiTheme="minorHAnsi" w:cstheme="minorBidi"/>
          <w:sz w:val="22"/>
          <w:szCs w:val="22"/>
          <w:lang w:eastAsia="ro-RO"/>
        </w:rPr>
      </w:pPr>
      <w:hyperlink w:anchor="_Toc106112233" w:history="1">
        <w:r w:rsidRPr="00226E3E">
          <w:rPr>
            <w:rStyle w:val="Hyperlink"/>
          </w:rPr>
          <w:t>Primirea de către prim-ministrul Nicolae-Ionel Ciucă a ministrului Apărării Republicii Moldova, Anatolie Nosatîi</w:t>
        </w:r>
        <w:r>
          <w:rPr>
            <w:webHidden/>
          </w:rPr>
          <w:tab/>
        </w:r>
        <w:r>
          <w:rPr>
            <w:webHidden/>
          </w:rPr>
          <w:fldChar w:fldCharType="begin"/>
        </w:r>
        <w:r>
          <w:rPr>
            <w:webHidden/>
          </w:rPr>
          <w:instrText xml:space="preserve"> PAGEREF _Toc106112233 \h </w:instrText>
        </w:r>
        <w:r>
          <w:rPr>
            <w:webHidden/>
          </w:rPr>
        </w:r>
        <w:r>
          <w:rPr>
            <w:webHidden/>
          </w:rPr>
          <w:fldChar w:fldCharType="separate"/>
        </w:r>
        <w:r w:rsidR="00AC2C5F">
          <w:rPr>
            <w:webHidden/>
          </w:rPr>
          <w:t>9</w:t>
        </w:r>
        <w:r>
          <w:rPr>
            <w:webHidden/>
          </w:rPr>
          <w:fldChar w:fldCharType="end"/>
        </w:r>
      </w:hyperlink>
    </w:p>
    <w:p w14:paraId="02D62064" w14:textId="260AFF93" w:rsidR="003D0E04" w:rsidRDefault="003D0E04">
      <w:pPr>
        <w:pStyle w:val="TOC4"/>
        <w:rPr>
          <w:rFonts w:asciiTheme="minorHAnsi" w:eastAsiaTheme="minorEastAsia" w:hAnsiTheme="minorHAnsi" w:cstheme="minorBidi"/>
          <w:sz w:val="22"/>
          <w:szCs w:val="22"/>
          <w:lang w:eastAsia="ro-RO"/>
        </w:rPr>
      </w:pPr>
      <w:hyperlink w:anchor="_Toc106112234" w:history="1">
        <w:r w:rsidRPr="00226E3E">
          <w:rPr>
            <w:rStyle w:val="Hyperlink"/>
          </w:rPr>
          <w:t>Participarea României la ”Conferința din Cadrul Decadei Internaționale a Apei”, Dushanbe</w:t>
        </w:r>
        <w:r>
          <w:rPr>
            <w:webHidden/>
          </w:rPr>
          <w:tab/>
        </w:r>
        <w:r>
          <w:rPr>
            <w:webHidden/>
          </w:rPr>
          <w:fldChar w:fldCharType="begin"/>
        </w:r>
        <w:r>
          <w:rPr>
            <w:webHidden/>
          </w:rPr>
          <w:instrText xml:space="preserve"> PAGEREF _Toc106112234 \h </w:instrText>
        </w:r>
        <w:r>
          <w:rPr>
            <w:webHidden/>
          </w:rPr>
        </w:r>
        <w:r>
          <w:rPr>
            <w:webHidden/>
          </w:rPr>
          <w:fldChar w:fldCharType="separate"/>
        </w:r>
        <w:r w:rsidR="00AC2C5F">
          <w:rPr>
            <w:webHidden/>
          </w:rPr>
          <w:t>9</w:t>
        </w:r>
        <w:r>
          <w:rPr>
            <w:webHidden/>
          </w:rPr>
          <w:fldChar w:fldCharType="end"/>
        </w:r>
      </w:hyperlink>
    </w:p>
    <w:p w14:paraId="6BA54BD3" w14:textId="3C5AB17D" w:rsidR="003D0E04" w:rsidRDefault="003D0E04">
      <w:pPr>
        <w:pStyle w:val="TOC4"/>
        <w:rPr>
          <w:rFonts w:asciiTheme="minorHAnsi" w:eastAsiaTheme="minorEastAsia" w:hAnsiTheme="minorHAnsi" w:cstheme="minorBidi"/>
          <w:sz w:val="22"/>
          <w:szCs w:val="22"/>
          <w:lang w:eastAsia="ro-RO"/>
        </w:rPr>
      </w:pPr>
      <w:hyperlink w:anchor="_Toc106112235" w:history="1">
        <w:r w:rsidRPr="00226E3E">
          <w:rPr>
            <w:rStyle w:val="Hyperlink"/>
          </w:rPr>
          <w:t>Premierul Nicolae-Ionel Ciucă: Semnarea primelor contracte de finanțare din PNRR la Palatul Victoria este semnalul susținerii pe care Guvernul o acordă comunităților locale</w:t>
        </w:r>
        <w:r>
          <w:rPr>
            <w:webHidden/>
          </w:rPr>
          <w:tab/>
        </w:r>
        <w:r>
          <w:rPr>
            <w:webHidden/>
          </w:rPr>
          <w:fldChar w:fldCharType="begin"/>
        </w:r>
        <w:r>
          <w:rPr>
            <w:webHidden/>
          </w:rPr>
          <w:instrText xml:space="preserve"> PAGEREF _Toc106112235 \h </w:instrText>
        </w:r>
        <w:r>
          <w:rPr>
            <w:webHidden/>
          </w:rPr>
        </w:r>
        <w:r>
          <w:rPr>
            <w:webHidden/>
          </w:rPr>
          <w:fldChar w:fldCharType="separate"/>
        </w:r>
        <w:r w:rsidR="00AC2C5F">
          <w:rPr>
            <w:webHidden/>
          </w:rPr>
          <w:t>10</w:t>
        </w:r>
        <w:r>
          <w:rPr>
            <w:webHidden/>
          </w:rPr>
          <w:fldChar w:fldCharType="end"/>
        </w:r>
      </w:hyperlink>
    </w:p>
    <w:p w14:paraId="3F5AD0E0" w14:textId="74D057D8" w:rsidR="003D0E04" w:rsidRDefault="003D0E04">
      <w:pPr>
        <w:pStyle w:val="TOC4"/>
        <w:rPr>
          <w:rFonts w:asciiTheme="minorHAnsi" w:eastAsiaTheme="minorEastAsia" w:hAnsiTheme="minorHAnsi" w:cstheme="minorBidi"/>
          <w:sz w:val="22"/>
          <w:szCs w:val="22"/>
          <w:lang w:eastAsia="ro-RO"/>
        </w:rPr>
      </w:pPr>
      <w:hyperlink w:anchor="_Toc106112236" w:history="1">
        <w:r w:rsidRPr="00226E3E">
          <w:rPr>
            <w:rStyle w:val="Hyperlink"/>
          </w:rPr>
          <w:t>Participarea premierului Nicolae-Ionel Ciucă la reuniunea Comitetului de monitorizare a Planului Național de Redresare și Reziliență</w:t>
        </w:r>
        <w:r>
          <w:rPr>
            <w:webHidden/>
          </w:rPr>
          <w:tab/>
        </w:r>
        <w:r>
          <w:rPr>
            <w:webHidden/>
          </w:rPr>
          <w:fldChar w:fldCharType="begin"/>
        </w:r>
        <w:r>
          <w:rPr>
            <w:webHidden/>
          </w:rPr>
          <w:instrText xml:space="preserve"> PAGEREF _Toc106112236 \h </w:instrText>
        </w:r>
        <w:r>
          <w:rPr>
            <w:webHidden/>
          </w:rPr>
        </w:r>
        <w:r>
          <w:rPr>
            <w:webHidden/>
          </w:rPr>
          <w:fldChar w:fldCharType="separate"/>
        </w:r>
        <w:r w:rsidR="00AC2C5F">
          <w:rPr>
            <w:webHidden/>
          </w:rPr>
          <w:t>11</w:t>
        </w:r>
        <w:r>
          <w:rPr>
            <w:webHidden/>
          </w:rPr>
          <w:fldChar w:fldCharType="end"/>
        </w:r>
      </w:hyperlink>
    </w:p>
    <w:p w14:paraId="1A0C01A9" w14:textId="3AC26D2D"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37" w:history="1">
        <w:r w:rsidRPr="00226E3E">
          <w:rPr>
            <w:rStyle w:val="Hyperlink"/>
          </w:rPr>
          <w:t>Informaţie Europeană</w:t>
        </w:r>
        <w:r>
          <w:rPr>
            <w:webHidden/>
          </w:rPr>
          <w:tab/>
        </w:r>
        <w:r>
          <w:rPr>
            <w:webHidden/>
          </w:rPr>
          <w:fldChar w:fldCharType="begin"/>
        </w:r>
        <w:r>
          <w:rPr>
            <w:webHidden/>
          </w:rPr>
          <w:instrText xml:space="preserve"> PAGEREF _Toc106112237 \h </w:instrText>
        </w:r>
        <w:r>
          <w:rPr>
            <w:webHidden/>
          </w:rPr>
        </w:r>
        <w:r>
          <w:rPr>
            <w:webHidden/>
          </w:rPr>
          <w:fldChar w:fldCharType="separate"/>
        </w:r>
        <w:r w:rsidR="00AC2C5F">
          <w:rPr>
            <w:webHidden/>
          </w:rPr>
          <w:t>12</w:t>
        </w:r>
        <w:r>
          <w:rPr>
            <w:webHidden/>
          </w:rPr>
          <w:fldChar w:fldCharType="end"/>
        </w:r>
      </w:hyperlink>
    </w:p>
    <w:p w14:paraId="59A87387" w14:textId="72CD3F9B"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38" w:history="1">
        <w:r w:rsidRPr="00226E3E">
          <w:rPr>
            <w:rStyle w:val="Hyperlink"/>
          </w:rPr>
          <w:t>NOUTĂȚI – Informații UTILE</w:t>
        </w:r>
        <w:r>
          <w:rPr>
            <w:webHidden/>
          </w:rPr>
          <w:tab/>
        </w:r>
        <w:r>
          <w:rPr>
            <w:webHidden/>
          </w:rPr>
          <w:fldChar w:fldCharType="begin"/>
        </w:r>
        <w:r>
          <w:rPr>
            <w:webHidden/>
          </w:rPr>
          <w:instrText xml:space="preserve"> PAGEREF _Toc106112238 \h </w:instrText>
        </w:r>
        <w:r>
          <w:rPr>
            <w:webHidden/>
          </w:rPr>
        </w:r>
        <w:r>
          <w:rPr>
            <w:webHidden/>
          </w:rPr>
          <w:fldChar w:fldCharType="separate"/>
        </w:r>
        <w:r w:rsidR="00AC2C5F">
          <w:rPr>
            <w:webHidden/>
          </w:rPr>
          <w:t>12</w:t>
        </w:r>
        <w:r>
          <w:rPr>
            <w:webHidden/>
          </w:rPr>
          <w:fldChar w:fldCharType="end"/>
        </w:r>
      </w:hyperlink>
    </w:p>
    <w:p w14:paraId="2E64F8A8" w14:textId="05C2C3C4" w:rsidR="003D0E04" w:rsidRDefault="003D0E04">
      <w:pPr>
        <w:pStyle w:val="TOC4"/>
        <w:rPr>
          <w:rFonts w:asciiTheme="minorHAnsi" w:eastAsiaTheme="minorEastAsia" w:hAnsiTheme="minorHAnsi" w:cstheme="minorBidi"/>
          <w:sz w:val="22"/>
          <w:szCs w:val="22"/>
          <w:lang w:eastAsia="ro-RO"/>
        </w:rPr>
      </w:pPr>
      <w:hyperlink w:anchor="_Toc106112239" w:history="1">
        <w:r w:rsidRPr="00226E3E">
          <w:rPr>
            <w:rStyle w:val="Hyperlink"/>
          </w:rPr>
          <w:t>În perioada 2021–2022, peste 28.000 de fermieri, procesatori, antreprenori și autorități publice au solicitat 2,37 de miliarde euro, fonduri europene, pentru agricultură și dezvoltare rurală</w:t>
        </w:r>
        <w:r>
          <w:rPr>
            <w:webHidden/>
          </w:rPr>
          <w:tab/>
        </w:r>
        <w:r>
          <w:rPr>
            <w:webHidden/>
          </w:rPr>
          <w:fldChar w:fldCharType="begin"/>
        </w:r>
        <w:r>
          <w:rPr>
            <w:webHidden/>
          </w:rPr>
          <w:instrText xml:space="preserve"> PAGEREF _Toc106112239 \h </w:instrText>
        </w:r>
        <w:r>
          <w:rPr>
            <w:webHidden/>
          </w:rPr>
        </w:r>
        <w:r>
          <w:rPr>
            <w:webHidden/>
          </w:rPr>
          <w:fldChar w:fldCharType="separate"/>
        </w:r>
        <w:r w:rsidR="00AC2C5F">
          <w:rPr>
            <w:webHidden/>
          </w:rPr>
          <w:t>12</w:t>
        </w:r>
        <w:r>
          <w:rPr>
            <w:webHidden/>
          </w:rPr>
          <w:fldChar w:fldCharType="end"/>
        </w:r>
      </w:hyperlink>
    </w:p>
    <w:p w14:paraId="72A40D1C" w14:textId="77777777" w:rsidR="003D0E04" w:rsidRDefault="003D0E04">
      <w:pPr>
        <w:pStyle w:val="TOC4"/>
        <w:rPr>
          <w:rFonts w:asciiTheme="minorHAnsi" w:eastAsiaTheme="minorEastAsia" w:hAnsiTheme="minorHAnsi" w:cstheme="minorBidi"/>
          <w:sz w:val="22"/>
          <w:szCs w:val="22"/>
          <w:lang w:eastAsia="ro-RO"/>
        </w:rPr>
      </w:pPr>
      <w:hyperlink w:anchor="_Toc106112240" w:history="1">
        <w:r w:rsidRPr="00226E3E">
          <w:rPr>
            <w:rStyle w:val="Hyperlink"/>
          </w:rPr>
          <w:t>POR: 6,2 milioane de lei pentru un centru de resurse comunitare în municipiul Vulcan</w:t>
        </w:r>
        <w:r>
          <w:rPr>
            <w:webHidden/>
          </w:rPr>
          <w:tab/>
        </w:r>
        <w:r>
          <w:rPr>
            <w:webHidden/>
          </w:rPr>
          <w:fldChar w:fldCharType="begin"/>
        </w:r>
        <w:r>
          <w:rPr>
            <w:webHidden/>
          </w:rPr>
          <w:instrText xml:space="preserve"> PAGEREF _Toc106112240 \h </w:instrText>
        </w:r>
        <w:r>
          <w:rPr>
            <w:webHidden/>
          </w:rPr>
        </w:r>
        <w:r>
          <w:rPr>
            <w:webHidden/>
          </w:rPr>
          <w:fldChar w:fldCharType="separate"/>
        </w:r>
        <w:r w:rsidR="00AC2C5F">
          <w:rPr>
            <w:webHidden/>
          </w:rPr>
          <w:t>13</w:t>
        </w:r>
        <w:r>
          <w:rPr>
            <w:webHidden/>
          </w:rPr>
          <w:fldChar w:fldCharType="end"/>
        </w:r>
      </w:hyperlink>
    </w:p>
    <w:p w14:paraId="1A97E156" w14:textId="7D8EDB8D" w:rsidR="003D0E04" w:rsidRDefault="003D0E04">
      <w:pPr>
        <w:pStyle w:val="TOC4"/>
        <w:rPr>
          <w:rFonts w:asciiTheme="minorHAnsi" w:eastAsiaTheme="minorEastAsia" w:hAnsiTheme="minorHAnsi" w:cstheme="minorBidi"/>
          <w:sz w:val="22"/>
          <w:szCs w:val="22"/>
          <w:lang w:eastAsia="ro-RO"/>
        </w:rPr>
      </w:pPr>
      <w:hyperlink w:anchor="_Toc106112241" w:history="1">
        <w:r w:rsidRPr="00226E3E">
          <w:rPr>
            <w:rStyle w:val="Hyperlink"/>
          </w:rPr>
          <w:t>POIM: Modificări la metodologia referitoare la garanțiile de bună execuție constituite în cadrul contractelor de achiziție publică ale contractelor sectoriale</w:t>
        </w:r>
        <w:r>
          <w:rPr>
            <w:webHidden/>
          </w:rPr>
          <w:tab/>
        </w:r>
        <w:r>
          <w:rPr>
            <w:webHidden/>
          </w:rPr>
          <w:fldChar w:fldCharType="begin"/>
        </w:r>
        <w:r>
          <w:rPr>
            <w:webHidden/>
          </w:rPr>
          <w:instrText xml:space="preserve"> PAGEREF _Toc106112241 \h </w:instrText>
        </w:r>
        <w:r>
          <w:rPr>
            <w:webHidden/>
          </w:rPr>
        </w:r>
        <w:r>
          <w:rPr>
            <w:webHidden/>
          </w:rPr>
          <w:fldChar w:fldCharType="separate"/>
        </w:r>
        <w:r w:rsidR="00AC2C5F">
          <w:rPr>
            <w:webHidden/>
          </w:rPr>
          <w:t>13</w:t>
        </w:r>
        <w:r>
          <w:rPr>
            <w:webHidden/>
          </w:rPr>
          <w:fldChar w:fldCharType="end"/>
        </w:r>
      </w:hyperlink>
    </w:p>
    <w:p w14:paraId="4FAC64F3" w14:textId="3B67A0C3" w:rsidR="003D0E04" w:rsidRDefault="003D0E04">
      <w:pPr>
        <w:pStyle w:val="TOC4"/>
        <w:rPr>
          <w:rFonts w:asciiTheme="minorHAnsi" w:eastAsiaTheme="minorEastAsia" w:hAnsiTheme="minorHAnsi" w:cstheme="minorBidi"/>
          <w:sz w:val="22"/>
          <w:szCs w:val="22"/>
          <w:lang w:eastAsia="ro-RO"/>
        </w:rPr>
      </w:pPr>
      <w:hyperlink w:anchor="_Toc106112242" w:history="1">
        <w:r w:rsidRPr="00226E3E">
          <w:rPr>
            <w:rStyle w:val="Hyperlink"/>
          </w:rPr>
          <w:t>185,6 miliarde de euro, propunerea Comisiei Europene pentru buget anual al UE pe 2023</w:t>
        </w:r>
        <w:r>
          <w:rPr>
            <w:webHidden/>
          </w:rPr>
          <w:tab/>
        </w:r>
        <w:r>
          <w:rPr>
            <w:webHidden/>
          </w:rPr>
          <w:fldChar w:fldCharType="begin"/>
        </w:r>
        <w:r>
          <w:rPr>
            <w:webHidden/>
          </w:rPr>
          <w:instrText xml:space="preserve"> PAGEREF _Toc106112242 \h </w:instrText>
        </w:r>
        <w:r>
          <w:rPr>
            <w:webHidden/>
          </w:rPr>
        </w:r>
        <w:r>
          <w:rPr>
            <w:webHidden/>
          </w:rPr>
          <w:fldChar w:fldCharType="separate"/>
        </w:r>
        <w:r w:rsidR="00AC2C5F">
          <w:rPr>
            <w:webHidden/>
          </w:rPr>
          <w:t>14</w:t>
        </w:r>
        <w:r>
          <w:rPr>
            <w:webHidden/>
          </w:rPr>
          <w:fldChar w:fldCharType="end"/>
        </w:r>
      </w:hyperlink>
    </w:p>
    <w:p w14:paraId="23A9ADC6" w14:textId="31C1A189" w:rsidR="003D0E04" w:rsidRDefault="003D0E04">
      <w:pPr>
        <w:pStyle w:val="TOC4"/>
        <w:rPr>
          <w:rFonts w:asciiTheme="minorHAnsi" w:eastAsiaTheme="minorEastAsia" w:hAnsiTheme="minorHAnsi" w:cstheme="minorBidi"/>
          <w:sz w:val="22"/>
          <w:szCs w:val="22"/>
          <w:lang w:eastAsia="ro-RO"/>
        </w:rPr>
      </w:pPr>
      <w:hyperlink w:anchor="_Toc106112243" w:history="1">
        <w:r w:rsidRPr="00226E3E">
          <w:rPr>
            <w:rStyle w:val="Hyperlink"/>
          </w:rPr>
          <w:t>Undă verde din partea Comisiei Europene pentru programele IMM Prod și Garant Construct</w:t>
        </w:r>
        <w:r>
          <w:rPr>
            <w:webHidden/>
          </w:rPr>
          <w:tab/>
        </w:r>
        <w:r>
          <w:rPr>
            <w:webHidden/>
          </w:rPr>
          <w:fldChar w:fldCharType="begin"/>
        </w:r>
        <w:r>
          <w:rPr>
            <w:webHidden/>
          </w:rPr>
          <w:instrText xml:space="preserve"> PAGEREF _Toc106112243 \h </w:instrText>
        </w:r>
        <w:r>
          <w:rPr>
            <w:webHidden/>
          </w:rPr>
        </w:r>
        <w:r>
          <w:rPr>
            <w:webHidden/>
          </w:rPr>
          <w:fldChar w:fldCharType="separate"/>
        </w:r>
        <w:r w:rsidR="00AC2C5F">
          <w:rPr>
            <w:webHidden/>
          </w:rPr>
          <w:t>15</w:t>
        </w:r>
        <w:r>
          <w:rPr>
            <w:webHidden/>
          </w:rPr>
          <w:fldChar w:fldCharType="end"/>
        </w:r>
      </w:hyperlink>
    </w:p>
    <w:p w14:paraId="3F7C4332" w14:textId="14C945AA" w:rsidR="003D0E04" w:rsidRDefault="003D0E04">
      <w:pPr>
        <w:pStyle w:val="TOC4"/>
        <w:rPr>
          <w:rFonts w:asciiTheme="minorHAnsi" w:eastAsiaTheme="minorEastAsia" w:hAnsiTheme="minorHAnsi" w:cstheme="minorBidi"/>
          <w:sz w:val="22"/>
          <w:szCs w:val="22"/>
          <w:lang w:eastAsia="ro-RO"/>
        </w:rPr>
      </w:pPr>
      <w:hyperlink w:anchor="_Toc106112244" w:history="1">
        <w:r w:rsidRPr="00226E3E">
          <w:rPr>
            <w:rStyle w:val="Hyperlink"/>
          </w:rPr>
          <w:t>Programul Operațional Transport 2021-2027, trimis spre aprobare Comisiei Europene</w:t>
        </w:r>
        <w:r>
          <w:rPr>
            <w:webHidden/>
          </w:rPr>
          <w:tab/>
        </w:r>
        <w:r>
          <w:rPr>
            <w:webHidden/>
          </w:rPr>
          <w:fldChar w:fldCharType="begin"/>
        </w:r>
        <w:r>
          <w:rPr>
            <w:webHidden/>
          </w:rPr>
          <w:instrText xml:space="preserve"> PAGEREF _Toc106112244 \h </w:instrText>
        </w:r>
        <w:r>
          <w:rPr>
            <w:webHidden/>
          </w:rPr>
        </w:r>
        <w:r>
          <w:rPr>
            <w:webHidden/>
          </w:rPr>
          <w:fldChar w:fldCharType="separate"/>
        </w:r>
        <w:r w:rsidR="00AC2C5F">
          <w:rPr>
            <w:webHidden/>
          </w:rPr>
          <w:t>16</w:t>
        </w:r>
        <w:r>
          <w:rPr>
            <w:webHidden/>
          </w:rPr>
          <w:fldChar w:fldCharType="end"/>
        </w:r>
      </w:hyperlink>
    </w:p>
    <w:p w14:paraId="1D2AACD5" w14:textId="07333F72" w:rsidR="003D0E04" w:rsidRDefault="003D0E04">
      <w:pPr>
        <w:pStyle w:val="TOC4"/>
        <w:rPr>
          <w:rFonts w:asciiTheme="minorHAnsi" w:eastAsiaTheme="minorEastAsia" w:hAnsiTheme="minorHAnsi" w:cstheme="minorBidi"/>
          <w:sz w:val="22"/>
          <w:szCs w:val="22"/>
          <w:lang w:eastAsia="ro-RO"/>
        </w:rPr>
      </w:pPr>
      <w:hyperlink w:anchor="_Toc106112245" w:history="1">
        <w:r w:rsidRPr="00226E3E">
          <w:rPr>
            <w:rStyle w:val="Hyperlink"/>
          </w:rPr>
          <w:t>Aviz pozitiv din partea Comisiei Europene pentru PNRR-ul Poloniei! Țara trebuie să respecte angajamentele cu privire la independența justiției</w:t>
        </w:r>
        <w:r>
          <w:rPr>
            <w:webHidden/>
          </w:rPr>
          <w:tab/>
        </w:r>
        <w:r>
          <w:rPr>
            <w:webHidden/>
          </w:rPr>
          <w:fldChar w:fldCharType="begin"/>
        </w:r>
        <w:r>
          <w:rPr>
            <w:webHidden/>
          </w:rPr>
          <w:instrText xml:space="preserve"> PAGEREF _Toc106112245 \h </w:instrText>
        </w:r>
        <w:r>
          <w:rPr>
            <w:webHidden/>
          </w:rPr>
        </w:r>
        <w:r>
          <w:rPr>
            <w:webHidden/>
          </w:rPr>
          <w:fldChar w:fldCharType="separate"/>
        </w:r>
        <w:r w:rsidR="00AC2C5F">
          <w:rPr>
            <w:webHidden/>
          </w:rPr>
          <w:t>17</w:t>
        </w:r>
        <w:r>
          <w:rPr>
            <w:webHidden/>
          </w:rPr>
          <w:fldChar w:fldCharType="end"/>
        </w:r>
      </w:hyperlink>
    </w:p>
    <w:p w14:paraId="09352ECA" w14:textId="37207C13"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46" w:history="1">
        <w:r w:rsidRPr="00226E3E">
          <w:rPr>
            <w:rStyle w:val="Hyperlink"/>
          </w:rPr>
          <w:t>PNRR</w:t>
        </w:r>
        <w:r>
          <w:rPr>
            <w:webHidden/>
          </w:rPr>
          <w:tab/>
        </w:r>
        <w:r>
          <w:rPr>
            <w:webHidden/>
          </w:rPr>
          <w:fldChar w:fldCharType="begin"/>
        </w:r>
        <w:r>
          <w:rPr>
            <w:webHidden/>
          </w:rPr>
          <w:instrText xml:space="preserve"> PAGEREF _Toc106112246 \h </w:instrText>
        </w:r>
        <w:r>
          <w:rPr>
            <w:webHidden/>
          </w:rPr>
        </w:r>
        <w:r>
          <w:rPr>
            <w:webHidden/>
          </w:rPr>
          <w:fldChar w:fldCharType="separate"/>
        </w:r>
        <w:r w:rsidR="00AC2C5F">
          <w:rPr>
            <w:webHidden/>
          </w:rPr>
          <w:t>18</w:t>
        </w:r>
        <w:r>
          <w:rPr>
            <w:webHidden/>
          </w:rPr>
          <w:fldChar w:fldCharType="end"/>
        </w:r>
      </w:hyperlink>
    </w:p>
    <w:p w14:paraId="5850B2D4" w14:textId="28FE07D8" w:rsidR="003D0E04" w:rsidRDefault="003D0E04">
      <w:pPr>
        <w:pStyle w:val="TOC4"/>
        <w:rPr>
          <w:rFonts w:asciiTheme="minorHAnsi" w:eastAsiaTheme="minorEastAsia" w:hAnsiTheme="minorHAnsi" w:cstheme="minorBidi"/>
          <w:sz w:val="22"/>
          <w:szCs w:val="22"/>
          <w:lang w:eastAsia="ro-RO"/>
        </w:rPr>
      </w:pPr>
      <w:hyperlink w:anchor="_Toc106112247" w:history="1">
        <w:r w:rsidRPr="00226E3E">
          <w:rPr>
            <w:rStyle w:val="Hyperlink"/>
          </w:rPr>
          <w:t>În perioada 08-30 iunie pot fi depuse cererile de finanțare în cadrul celor două apeluri aferente Componentei 11 – Turism și Cultură din PNRR!</w:t>
        </w:r>
        <w:r>
          <w:rPr>
            <w:webHidden/>
          </w:rPr>
          <w:tab/>
        </w:r>
        <w:r>
          <w:rPr>
            <w:webHidden/>
          </w:rPr>
          <w:fldChar w:fldCharType="begin"/>
        </w:r>
        <w:r>
          <w:rPr>
            <w:webHidden/>
          </w:rPr>
          <w:instrText xml:space="preserve"> PAGEREF _Toc106112247 \h </w:instrText>
        </w:r>
        <w:r>
          <w:rPr>
            <w:webHidden/>
          </w:rPr>
        </w:r>
        <w:r>
          <w:rPr>
            <w:webHidden/>
          </w:rPr>
          <w:fldChar w:fldCharType="separate"/>
        </w:r>
        <w:r w:rsidR="00AC2C5F">
          <w:rPr>
            <w:webHidden/>
          </w:rPr>
          <w:t>18</w:t>
        </w:r>
        <w:r>
          <w:rPr>
            <w:webHidden/>
          </w:rPr>
          <w:fldChar w:fldCharType="end"/>
        </w:r>
      </w:hyperlink>
    </w:p>
    <w:p w14:paraId="2AE958BE" w14:textId="4C32C464" w:rsidR="003D0E04" w:rsidRDefault="003D0E04">
      <w:pPr>
        <w:pStyle w:val="TOC4"/>
        <w:rPr>
          <w:rFonts w:asciiTheme="minorHAnsi" w:eastAsiaTheme="minorEastAsia" w:hAnsiTheme="minorHAnsi" w:cstheme="minorBidi"/>
          <w:sz w:val="22"/>
          <w:szCs w:val="22"/>
          <w:lang w:eastAsia="ro-RO"/>
        </w:rPr>
      </w:pPr>
      <w:hyperlink w:anchor="_Toc106112248" w:history="1">
        <w:r w:rsidRPr="00226E3E">
          <w:rPr>
            <w:rStyle w:val="Hyperlink"/>
          </w:rPr>
          <w:t>PNRR: Universitățile pot solicita cele 234 milioane de euro disponibile pentru digitalizarea și pregătirea acestora pentru profesiile digitale ale viitorului</w:t>
        </w:r>
        <w:r>
          <w:rPr>
            <w:webHidden/>
          </w:rPr>
          <w:tab/>
        </w:r>
        <w:r>
          <w:rPr>
            <w:webHidden/>
          </w:rPr>
          <w:fldChar w:fldCharType="begin"/>
        </w:r>
        <w:r>
          <w:rPr>
            <w:webHidden/>
          </w:rPr>
          <w:instrText xml:space="preserve"> PAGEREF _Toc106112248 \h </w:instrText>
        </w:r>
        <w:r>
          <w:rPr>
            <w:webHidden/>
          </w:rPr>
        </w:r>
        <w:r>
          <w:rPr>
            <w:webHidden/>
          </w:rPr>
          <w:fldChar w:fldCharType="separate"/>
        </w:r>
        <w:r w:rsidR="00AC2C5F">
          <w:rPr>
            <w:webHidden/>
          </w:rPr>
          <w:t>19</w:t>
        </w:r>
        <w:r>
          <w:rPr>
            <w:webHidden/>
          </w:rPr>
          <w:fldChar w:fldCharType="end"/>
        </w:r>
      </w:hyperlink>
    </w:p>
    <w:p w14:paraId="54FE2FD0" w14:textId="5DE9B372" w:rsidR="003D0E04" w:rsidRDefault="003D0E04">
      <w:pPr>
        <w:pStyle w:val="TOC4"/>
        <w:rPr>
          <w:rFonts w:asciiTheme="minorHAnsi" w:eastAsiaTheme="minorEastAsia" w:hAnsiTheme="minorHAnsi" w:cstheme="minorBidi"/>
          <w:sz w:val="22"/>
          <w:szCs w:val="22"/>
          <w:lang w:eastAsia="ro-RO"/>
        </w:rPr>
      </w:pPr>
      <w:hyperlink w:anchor="_Toc106112249" w:history="1">
        <w:r w:rsidRPr="00226E3E">
          <w:rPr>
            <w:rStyle w:val="Hyperlink"/>
          </w:rPr>
          <w:t>Ministerul Energiei: Platforma PNRR va fi actualizată astfel încât să permită încărcarea mai multor cereri de finanțare pentru același CUI</w:t>
        </w:r>
        <w:r>
          <w:rPr>
            <w:webHidden/>
          </w:rPr>
          <w:tab/>
        </w:r>
        <w:r>
          <w:rPr>
            <w:webHidden/>
          </w:rPr>
          <w:fldChar w:fldCharType="begin"/>
        </w:r>
        <w:r>
          <w:rPr>
            <w:webHidden/>
          </w:rPr>
          <w:instrText xml:space="preserve"> PAGEREF _Toc106112249 \h </w:instrText>
        </w:r>
        <w:r>
          <w:rPr>
            <w:webHidden/>
          </w:rPr>
        </w:r>
        <w:r>
          <w:rPr>
            <w:webHidden/>
          </w:rPr>
          <w:fldChar w:fldCharType="separate"/>
        </w:r>
        <w:r w:rsidR="00AC2C5F">
          <w:rPr>
            <w:webHidden/>
          </w:rPr>
          <w:t>20</w:t>
        </w:r>
        <w:r>
          <w:rPr>
            <w:webHidden/>
          </w:rPr>
          <w:fldChar w:fldCharType="end"/>
        </w:r>
      </w:hyperlink>
    </w:p>
    <w:p w14:paraId="367D20A5" w14:textId="51B668AC" w:rsidR="003D0E04" w:rsidRDefault="003D0E04">
      <w:pPr>
        <w:pStyle w:val="TOC4"/>
        <w:rPr>
          <w:rFonts w:asciiTheme="minorHAnsi" w:eastAsiaTheme="minorEastAsia" w:hAnsiTheme="minorHAnsi" w:cstheme="minorBidi"/>
          <w:sz w:val="22"/>
          <w:szCs w:val="22"/>
          <w:lang w:eastAsia="ro-RO"/>
        </w:rPr>
      </w:pPr>
      <w:hyperlink w:anchor="_Toc106112250" w:history="1">
        <w:r w:rsidRPr="00226E3E">
          <w:rPr>
            <w:rStyle w:val="Hyperlink"/>
          </w:rPr>
          <w:t>Organizațiile neguvernamentale selectate pentru formarea Comitetului de Monitorizare a PNRR</w:t>
        </w:r>
        <w:r>
          <w:rPr>
            <w:webHidden/>
          </w:rPr>
          <w:tab/>
        </w:r>
        <w:r>
          <w:rPr>
            <w:webHidden/>
          </w:rPr>
          <w:fldChar w:fldCharType="begin"/>
        </w:r>
        <w:r>
          <w:rPr>
            <w:webHidden/>
          </w:rPr>
          <w:instrText xml:space="preserve"> PAGEREF _Toc106112250 \h </w:instrText>
        </w:r>
        <w:r>
          <w:rPr>
            <w:webHidden/>
          </w:rPr>
        </w:r>
        <w:r>
          <w:rPr>
            <w:webHidden/>
          </w:rPr>
          <w:fldChar w:fldCharType="separate"/>
        </w:r>
        <w:r w:rsidR="00AC2C5F">
          <w:rPr>
            <w:webHidden/>
          </w:rPr>
          <w:t>20</w:t>
        </w:r>
        <w:r>
          <w:rPr>
            <w:webHidden/>
          </w:rPr>
          <w:fldChar w:fldCharType="end"/>
        </w:r>
      </w:hyperlink>
    </w:p>
    <w:p w14:paraId="795A2ADC" w14:textId="77777777" w:rsidR="003D0E04" w:rsidRDefault="003D0E04">
      <w:pPr>
        <w:pStyle w:val="TOC4"/>
        <w:rPr>
          <w:rFonts w:asciiTheme="minorHAnsi" w:eastAsiaTheme="minorEastAsia" w:hAnsiTheme="minorHAnsi" w:cstheme="minorBidi"/>
          <w:sz w:val="22"/>
          <w:szCs w:val="22"/>
          <w:lang w:eastAsia="ro-RO"/>
        </w:rPr>
      </w:pPr>
      <w:hyperlink w:anchor="_Toc106112251" w:history="1">
        <w:r w:rsidRPr="00226E3E">
          <w:rPr>
            <w:rStyle w:val="Hyperlink"/>
          </w:rPr>
          <w:t>Ministerul Dezvoltării a anunțat semnarea primelor contracte din România finanțate prin PNRR</w:t>
        </w:r>
        <w:r>
          <w:rPr>
            <w:webHidden/>
          </w:rPr>
          <w:tab/>
        </w:r>
        <w:r>
          <w:rPr>
            <w:webHidden/>
          </w:rPr>
          <w:fldChar w:fldCharType="begin"/>
        </w:r>
        <w:r>
          <w:rPr>
            <w:webHidden/>
          </w:rPr>
          <w:instrText xml:space="preserve"> PAGEREF _Toc106112251 \h </w:instrText>
        </w:r>
        <w:r>
          <w:rPr>
            <w:webHidden/>
          </w:rPr>
        </w:r>
        <w:r>
          <w:rPr>
            <w:webHidden/>
          </w:rPr>
          <w:fldChar w:fldCharType="separate"/>
        </w:r>
        <w:r w:rsidR="00AC2C5F">
          <w:rPr>
            <w:webHidden/>
          </w:rPr>
          <w:t>21</w:t>
        </w:r>
        <w:r>
          <w:rPr>
            <w:webHidden/>
          </w:rPr>
          <w:fldChar w:fldCharType="end"/>
        </w:r>
      </w:hyperlink>
    </w:p>
    <w:p w14:paraId="132B40B9" w14:textId="41010B60" w:rsidR="003D0E04" w:rsidRDefault="003D0E04">
      <w:pPr>
        <w:pStyle w:val="TOC4"/>
        <w:rPr>
          <w:rFonts w:asciiTheme="minorHAnsi" w:eastAsiaTheme="minorEastAsia" w:hAnsiTheme="minorHAnsi" w:cstheme="minorBidi"/>
          <w:sz w:val="22"/>
          <w:szCs w:val="22"/>
          <w:lang w:eastAsia="ro-RO"/>
        </w:rPr>
      </w:pPr>
      <w:hyperlink w:anchor="_Toc106112252" w:history="1">
        <w:r w:rsidRPr="00226E3E">
          <w:rPr>
            <w:rStyle w:val="Hyperlink"/>
          </w:rPr>
          <w:t>Ministrul Boloș: A doua cerere de plată pe PNRR urmează să fie depusă în cursul lunii octombrie a acestui an</w:t>
        </w:r>
        <w:r>
          <w:rPr>
            <w:webHidden/>
          </w:rPr>
          <w:tab/>
        </w:r>
        <w:r>
          <w:rPr>
            <w:webHidden/>
          </w:rPr>
          <w:fldChar w:fldCharType="begin"/>
        </w:r>
        <w:r>
          <w:rPr>
            <w:webHidden/>
          </w:rPr>
          <w:instrText xml:space="preserve"> PAGEREF _Toc106112252 \h </w:instrText>
        </w:r>
        <w:r>
          <w:rPr>
            <w:webHidden/>
          </w:rPr>
        </w:r>
        <w:r>
          <w:rPr>
            <w:webHidden/>
          </w:rPr>
          <w:fldChar w:fldCharType="separate"/>
        </w:r>
        <w:r w:rsidR="00AC2C5F">
          <w:rPr>
            <w:webHidden/>
          </w:rPr>
          <w:t>21</w:t>
        </w:r>
        <w:r>
          <w:rPr>
            <w:webHidden/>
          </w:rPr>
          <w:fldChar w:fldCharType="end"/>
        </w:r>
      </w:hyperlink>
    </w:p>
    <w:p w14:paraId="7D5EA3FD" w14:textId="7F85199A" w:rsidR="003D0E04" w:rsidRDefault="003D0E04">
      <w:pPr>
        <w:pStyle w:val="TOC4"/>
        <w:rPr>
          <w:rFonts w:asciiTheme="minorHAnsi" w:eastAsiaTheme="minorEastAsia" w:hAnsiTheme="minorHAnsi" w:cstheme="minorBidi"/>
          <w:sz w:val="22"/>
          <w:szCs w:val="22"/>
          <w:lang w:eastAsia="ro-RO"/>
        </w:rPr>
      </w:pPr>
      <w:hyperlink w:anchor="_Toc106112253" w:history="1">
        <w:r w:rsidRPr="00226E3E">
          <w:rPr>
            <w:rStyle w:val="Hyperlink"/>
          </w:rPr>
          <w:t>PNRR: Ghidurile pentru dezvoltarea și reabilitarea infrastructurii sociale pentru persoanele cu dizabilități, lansate spre consultare publică!</w:t>
        </w:r>
        <w:r>
          <w:rPr>
            <w:webHidden/>
          </w:rPr>
          <w:tab/>
        </w:r>
        <w:r>
          <w:rPr>
            <w:webHidden/>
          </w:rPr>
          <w:fldChar w:fldCharType="begin"/>
        </w:r>
        <w:r>
          <w:rPr>
            <w:webHidden/>
          </w:rPr>
          <w:instrText xml:space="preserve"> PAGEREF _Toc106112253 \h </w:instrText>
        </w:r>
        <w:r>
          <w:rPr>
            <w:webHidden/>
          </w:rPr>
        </w:r>
        <w:r>
          <w:rPr>
            <w:webHidden/>
          </w:rPr>
          <w:fldChar w:fldCharType="separate"/>
        </w:r>
        <w:r w:rsidR="00AC2C5F">
          <w:rPr>
            <w:webHidden/>
          </w:rPr>
          <w:t>22</w:t>
        </w:r>
        <w:r>
          <w:rPr>
            <w:webHidden/>
          </w:rPr>
          <w:fldChar w:fldCharType="end"/>
        </w:r>
      </w:hyperlink>
    </w:p>
    <w:p w14:paraId="32C61640" w14:textId="13966B60" w:rsidR="003D0E04" w:rsidRDefault="003D0E04">
      <w:pPr>
        <w:pStyle w:val="TOC4"/>
        <w:rPr>
          <w:rFonts w:asciiTheme="minorHAnsi" w:eastAsiaTheme="minorEastAsia" w:hAnsiTheme="minorHAnsi" w:cstheme="minorBidi"/>
          <w:sz w:val="22"/>
          <w:szCs w:val="22"/>
          <w:lang w:eastAsia="ro-RO"/>
        </w:rPr>
      </w:pPr>
      <w:r>
        <w:rPr>
          <w:lang w:eastAsia="ro-RO"/>
        </w:rPr>
        <w:lastRenderedPageBreak/>
        <mc:AlternateContent>
          <mc:Choice Requires="wps">
            <w:drawing>
              <wp:anchor distT="0" distB="0" distL="114300" distR="114300" simplePos="0" relativeHeight="252137472" behindDoc="1" locked="0" layoutInCell="1" allowOverlap="1" wp14:anchorId="4CF7837A" wp14:editId="320C5CAE">
                <wp:simplePos x="0" y="0"/>
                <wp:positionH relativeFrom="column">
                  <wp:posOffset>69215</wp:posOffset>
                </wp:positionH>
                <wp:positionV relativeFrom="page">
                  <wp:posOffset>1266825</wp:posOffset>
                </wp:positionV>
                <wp:extent cx="6153785" cy="7962900"/>
                <wp:effectExtent l="38100" t="38100" r="37465" b="3810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62900"/>
                        </a:xfrm>
                        <a:prstGeom prst="rect">
                          <a:avLst/>
                        </a:prstGeom>
                        <a:solidFill>
                          <a:srgbClr val="CDDDEB">
                            <a:alpha val="80000"/>
                          </a:srgbClr>
                        </a:solidFill>
                        <a:ln w="79375" cmpd="thickThin">
                          <a:solidFill>
                            <a:srgbClr val="808080"/>
                          </a:solidFill>
                          <a:miter lim="800000"/>
                          <a:headEnd/>
                          <a:tailEnd/>
                        </a:ln>
                      </wps:spPr>
                      <wps:txbx>
                        <w:txbxContent>
                          <w:p w14:paraId="221CDDF5" w14:textId="77777777" w:rsidR="003D0E04" w:rsidRDefault="003D0E04" w:rsidP="003D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7837A" id="_x0000_s1028" style="position:absolute;left:0;text-align:left;margin-left:5.45pt;margin-top:99.75pt;width:484.55pt;height:627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" fillcolor="#cdddeb" strokecolor="gray" strokeweight="6.25pt">
                <v:fill opacity="52428f"/>
                <v:stroke linestyle="thickThin"/>
                <v:textbox>
                  <w:txbxContent>
                    <w:p w14:paraId="221CDDF5" w14:textId="77777777" w:rsidR="003D0E04" w:rsidRDefault="003D0E04" w:rsidP="003D0E04"/>
                  </w:txbxContent>
                </v:textbox>
                <w10:wrap anchory="page"/>
              </v:rect>
            </w:pict>
          </mc:Fallback>
        </mc:AlternateContent>
      </w:r>
      <w:hyperlink w:anchor="_Toc106112254" w:history="1">
        <w:r w:rsidRPr="00226E3E">
          <w:rPr>
            <w:rStyle w:val="Hyperlink"/>
          </w:rPr>
          <w:t>A fost aprobat contractul de finanțare pentru intermedierea de fonduri în valoare de 300 milioane euro din PNRR</w:t>
        </w:r>
        <w:r>
          <w:rPr>
            <w:webHidden/>
          </w:rPr>
          <w:tab/>
        </w:r>
        <w:r>
          <w:rPr>
            <w:webHidden/>
          </w:rPr>
          <w:fldChar w:fldCharType="begin"/>
        </w:r>
        <w:r>
          <w:rPr>
            <w:webHidden/>
          </w:rPr>
          <w:instrText xml:space="preserve"> PAGEREF _Toc106112254 \h </w:instrText>
        </w:r>
        <w:r>
          <w:rPr>
            <w:webHidden/>
          </w:rPr>
        </w:r>
        <w:r>
          <w:rPr>
            <w:webHidden/>
          </w:rPr>
          <w:fldChar w:fldCharType="separate"/>
        </w:r>
        <w:r w:rsidR="00AC2C5F">
          <w:rPr>
            <w:webHidden/>
          </w:rPr>
          <w:t>23</w:t>
        </w:r>
        <w:r>
          <w:rPr>
            <w:webHidden/>
          </w:rPr>
          <w:fldChar w:fldCharType="end"/>
        </w:r>
      </w:hyperlink>
    </w:p>
    <w:p w14:paraId="74505A1B" w14:textId="587447C4"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55" w:history="1">
        <w:r w:rsidRPr="00226E3E">
          <w:rPr>
            <w:rStyle w:val="Hyperlink"/>
          </w:rPr>
          <w:t>Consultări publice</w:t>
        </w:r>
        <w:r>
          <w:rPr>
            <w:webHidden/>
          </w:rPr>
          <w:tab/>
        </w:r>
        <w:r>
          <w:rPr>
            <w:webHidden/>
          </w:rPr>
          <w:fldChar w:fldCharType="begin"/>
        </w:r>
        <w:r>
          <w:rPr>
            <w:webHidden/>
          </w:rPr>
          <w:instrText xml:space="preserve"> PAGEREF _Toc106112255 \h </w:instrText>
        </w:r>
        <w:r>
          <w:rPr>
            <w:webHidden/>
          </w:rPr>
        </w:r>
        <w:r>
          <w:rPr>
            <w:webHidden/>
          </w:rPr>
          <w:fldChar w:fldCharType="separate"/>
        </w:r>
        <w:r w:rsidR="00AC2C5F">
          <w:rPr>
            <w:webHidden/>
          </w:rPr>
          <w:t>24</w:t>
        </w:r>
        <w:r>
          <w:rPr>
            <w:webHidden/>
          </w:rPr>
          <w:fldChar w:fldCharType="end"/>
        </w:r>
      </w:hyperlink>
    </w:p>
    <w:p w14:paraId="499DBB3D" w14:textId="0DDC3C89" w:rsidR="003D0E04" w:rsidRDefault="003D0E04">
      <w:pPr>
        <w:pStyle w:val="TOC4"/>
        <w:rPr>
          <w:rFonts w:asciiTheme="minorHAnsi" w:eastAsiaTheme="minorEastAsia" w:hAnsiTheme="minorHAnsi" w:cstheme="minorBidi"/>
          <w:sz w:val="22"/>
          <w:szCs w:val="22"/>
          <w:lang w:eastAsia="ro-RO"/>
        </w:rPr>
      </w:pPr>
      <w:hyperlink w:anchor="_Toc106112256" w:history="1">
        <w:r w:rsidRPr="00226E3E">
          <w:rPr>
            <w:rStyle w:val="Hyperlink"/>
          </w:rPr>
          <w:t>Consultare publică pentru suplimentarea bugetului pe „Competențe digitale pentru angajații din IMM”! Toate cele 73 de proiecte aflate pe lista de rezervă ar putea fi finanțate</w:t>
        </w:r>
        <w:r>
          <w:rPr>
            <w:webHidden/>
          </w:rPr>
          <w:tab/>
        </w:r>
        <w:r>
          <w:rPr>
            <w:webHidden/>
          </w:rPr>
          <w:fldChar w:fldCharType="begin"/>
        </w:r>
        <w:r>
          <w:rPr>
            <w:webHidden/>
          </w:rPr>
          <w:instrText xml:space="preserve"> PAGEREF _Toc106112256 \h </w:instrText>
        </w:r>
        <w:r>
          <w:rPr>
            <w:webHidden/>
          </w:rPr>
        </w:r>
        <w:r>
          <w:rPr>
            <w:webHidden/>
          </w:rPr>
          <w:fldChar w:fldCharType="separate"/>
        </w:r>
        <w:r w:rsidR="00AC2C5F">
          <w:rPr>
            <w:webHidden/>
          </w:rPr>
          <w:t>24</w:t>
        </w:r>
        <w:r>
          <w:rPr>
            <w:webHidden/>
          </w:rPr>
          <w:fldChar w:fldCharType="end"/>
        </w:r>
      </w:hyperlink>
    </w:p>
    <w:p w14:paraId="4324EFB2" w14:textId="489654EE" w:rsidR="003D0E04" w:rsidRDefault="003D0E04">
      <w:pPr>
        <w:pStyle w:val="TOC4"/>
        <w:rPr>
          <w:rFonts w:asciiTheme="minorHAnsi" w:eastAsiaTheme="minorEastAsia" w:hAnsiTheme="minorHAnsi" w:cstheme="minorBidi"/>
          <w:sz w:val="22"/>
          <w:szCs w:val="22"/>
          <w:lang w:eastAsia="ro-RO"/>
        </w:rPr>
      </w:pPr>
      <w:hyperlink w:anchor="_Toc106112257" w:history="1">
        <w:r w:rsidRPr="00226E3E">
          <w:rPr>
            <w:rStyle w:val="Hyperlink"/>
          </w:rPr>
          <w:t>Dezbatere publică pe marginea documentelor aferente Programului Operațional Dezvoltare Durabilă 2021-2027</w:t>
        </w:r>
        <w:r>
          <w:rPr>
            <w:webHidden/>
          </w:rPr>
          <w:tab/>
        </w:r>
        <w:r>
          <w:rPr>
            <w:webHidden/>
          </w:rPr>
          <w:fldChar w:fldCharType="begin"/>
        </w:r>
        <w:r>
          <w:rPr>
            <w:webHidden/>
          </w:rPr>
          <w:instrText xml:space="preserve"> PAGEREF _Toc106112257 \h </w:instrText>
        </w:r>
        <w:r>
          <w:rPr>
            <w:webHidden/>
          </w:rPr>
        </w:r>
        <w:r>
          <w:rPr>
            <w:webHidden/>
          </w:rPr>
          <w:fldChar w:fldCharType="separate"/>
        </w:r>
        <w:r w:rsidR="00AC2C5F">
          <w:rPr>
            <w:webHidden/>
          </w:rPr>
          <w:t>25</w:t>
        </w:r>
        <w:r>
          <w:rPr>
            <w:webHidden/>
          </w:rPr>
          <w:fldChar w:fldCharType="end"/>
        </w:r>
      </w:hyperlink>
    </w:p>
    <w:p w14:paraId="7B0C6603" w14:textId="1C7CB623"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58" w:history="1">
        <w:r w:rsidRPr="00226E3E">
          <w:rPr>
            <w:rStyle w:val="Hyperlink"/>
          </w:rPr>
          <w:t>APELURI – Finanțări</w:t>
        </w:r>
        <w:r>
          <w:rPr>
            <w:webHidden/>
          </w:rPr>
          <w:tab/>
        </w:r>
        <w:r>
          <w:rPr>
            <w:webHidden/>
          </w:rPr>
          <w:fldChar w:fldCharType="begin"/>
        </w:r>
        <w:r>
          <w:rPr>
            <w:webHidden/>
          </w:rPr>
          <w:instrText xml:space="preserve"> PAGEREF _Toc106112258 \h </w:instrText>
        </w:r>
        <w:r>
          <w:rPr>
            <w:webHidden/>
          </w:rPr>
        </w:r>
        <w:r>
          <w:rPr>
            <w:webHidden/>
          </w:rPr>
          <w:fldChar w:fldCharType="separate"/>
        </w:r>
        <w:r w:rsidR="00AC2C5F">
          <w:rPr>
            <w:webHidden/>
          </w:rPr>
          <w:t>25</w:t>
        </w:r>
        <w:r>
          <w:rPr>
            <w:webHidden/>
          </w:rPr>
          <w:fldChar w:fldCharType="end"/>
        </w:r>
      </w:hyperlink>
    </w:p>
    <w:p w14:paraId="25B285F1" w14:textId="1FC8C1D3" w:rsidR="003D0E04" w:rsidRDefault="003D0E04">
      <w:pPr>
        <w:pStyle w:val="TOC4"/>
        <w:rPr>
          <w:rFonts w:asciiTheme="minorHAnsi" w:eastAsiaTheme="minorEastAsia" w:hAnsiTheme="minorHAnsi" w:cstheme="minorBidi"/>
          <w:sz w:val="22"/>
          <w:szCs w:val="22"/>
          <w:lang w:eastAsia="ro-RO"/>
        </w:rPr>
      </w:pPr>
      <w:hyperlink w:anchor="_Toc106112259" w:history="1">
        <w:r w:rsidRPr="00226E3E">
          <w:rPr>
            <w:rStyle w:val="Hyperlink"/>
          </w:rPr>
          <w:t>În prezent, Fondul pentru modernizare a pus 2,4 miliarde euro la dispoziția României și altor șase țări beneficiare</w:t>
        </w:r>
        <w:r>
          <w:rPr>
            <w:webHidden/>
          </w:rPr>
          <w:tab/>
        </w:r>
        <w:r>
          <w:rPr>
            <w:webHidden/>
          </w:rPr>
          <w:fldChar w:fldCharType="begin"/>
        </w:r>
        <w:r>
          <w:rPr>
            <w:webHidden/>
          </w:rPr>
          <w:instrText xml:space="preserve"> PAGEREF _Toc106112259 \h </w:instrText>
        </w:r>
        <w:r>
          <w:rPr>
            <w:webHidden/>
          </w:rPr>
        </w:r>
        <w:r>
          <w:rPr>
            <w:webHidden/>
          </w:rPr>
          <w:fldChar w:fldCharType="separate"/>
        </w:r>
        <w:r w:rsidR="00AC2C5F">
          <w:rPr>
            <w:webHidden/>
          </w:rPr>
          <w:t>25</w:t>
        </w:r>
        <w:r>
          <w:rPr>
            <w:webHidden/>
          </w:rPr>
          <w:fldChar w:fldCharType="end"/>
        </w:r>
      </w:hyperlink>
    </w:p>
    <w:p w14:paraId="4CC923F9" w14:textId="689A43B8" w:rsidR="003D0E04" w:rsidRDefault="003D0E04">
      <w:pPr>
        <w:pStyle w:val="TOC4"/>
        <w:rPr>
          <w:rFonts w:asciiTheme="minorHAnsi" w:eastAsiaTheme="minorEastAsia" w:hAnsiTheme="minorHAnsi" w:cstheme="minorBidi"/>
          <w:sz w:val="22"/>
          <w:szCs w:val="22"/>
          <w:lang w:eastAsia="ro-RO"/>
        </w:rPr>
      </w:pPr>
      <w:hyperlink w:anchor="_Toc106112260" w:history="1">
        <w:r w:rsidRPr="00226E3E">
          <w:rPr>
            <w:rStyle w:val="Hyperlink"/>
          </w:rPr>
          <w:t>Comisia Europeană a aprobat schema de ajutor de stat instituită prin Programul RURAL INVEST</w:t>
        </w:r>
        <w:r>
          <w:rPr>
            <w:webHidden/>
          </w:rPr>
          <w:tab/>
        </w:r>
        <w:r>
          <w:rPr>
            <w:webHidden/>
          </w:rPr>
          <w:fldChar w:fldCharType="begin"/>
        </w:r>
        <w:r>
          <w:rPr>
            <w:webHidden/>
          </w:rPr>
          <w:instrText xml:space="preserve"> PAGEREF _Toc106112260 \h </w:instrText>
        </w:r>
        <w:r>
          <w:rPr>
            <w:webHidden/>
          </w:rPr>
        </w:r>
        <w:r>
          <w:rPr>
            <w:webHidden/>
          </w:rPr>
          <w:fldChar w:fldCharType="separate"/>
        </w:r>
        <w:r w:rsidR="00AC2C5F">
          <w:rPr>
            <w:webHidden/>
          </w:rPr>
          <w:t>26</w:t>
        </w:r>
        <w:r>
          <w:rPr>
            <w:webHidden/>
          </w:rPr>
          <w:fldChar w:fldCharType="end"/>
        </w:r>
      </w:hyperlink>
    </w:p>
    <w:p w14:paraId="5B75F4DA" w14:textId="77777777" w:rsidR="003D0E04" w:rsidRDefault="003D0E04">
      <w:pPr>
        <w:pStyle w:val="TOC4"/>
        <w:rPr>
          <w:rFonts w:asciiTheme="minorHAnsi" w:eastAsiaTheme="minorEastAsia" w:hAnsiTheme="minorHAnsi" w:cstheme="minorBidi"/>
          <w:sz w:val="22"/>
          <w:szCs w:val="22"/>
          <w:lang w:eastAsia="ro-RO"/>
        </w:rPr>
      </w:pPr>
      <w:hyperlink w:anchor="_Toc106112261" w:history="1">
        <w:r w:rsidRPr="00226E3E">
          <w:rPr>
            <w:rStyle w:val="Hyperlink"/>
          </w:rPr>
          <w:t>Comisia Europeană a aprobat o schemă românească în valoare de 605 milioane euro pentru sprijinirea IMM-urilor care își desfășoară activitatea în sectorul construcțiilor</w:t>
        </w:r>
        <w:r>
          <w:rPr>
            <w:webHidden/>
          </w:rPr>
          <w:tab/>
        </w:r>
        <w:r>
          <w:rPr>
            <w:webHidden/>
          </w:rPr>
          <w:fldChar w:fldCharType="begin"/>
        </w:r>
        <w:r>
          <w:rPr>
            <w:webHidden/>
          </w:rPr>
          <w:instrText xml:space="preserve"> PAGEREF _Toc106112261 \h </w:instrText>
        </w:r>
        <w:r>
          <w:rPr>
            <w:webHidden/>
          </w:rPr>
        </w:r>
        <w:r>
          <w:rPr>
            <w:webHidden/>
          </w:rPr>
          <w:fldChar w:fldCharType="separate"/>
        </w:r>
        <w:r w:rsidR="00AC2C5F">
          <w:rPr>
            <w:webHidden/>
          </w:rPr>
          <w:t>27</w:t>
        </w:r>
        <w:r>
          <w:rPr>
            <w:webHidden/>
          </w:rPr>
          <w:fldChar w:fldCharType="end"/>
        </w:r>
      </w:hyperlink>
    </w:p>
    <w:p w14:paraId="573F3087" w14:textId="77777777" w:rsidR="003D0E04" w:rsidRDefault="003D0E04">
      <w:pPr>
        <w:pStyle w:val="TOC4"/>
        <w:rPr>
          <w:rFonts w:asciiTheme="minorHAnsi" w:eastAsiaTheme="minorEastAsia" w:hAnsiTheme="minorHAnsi" w:cstheme="minorBidi"/>
          <w:sz w:val="22"/>
          <w:szCs w:val="22"/>
          <w:lang w:eastAsia="ro-RO"/>
        </w:rPr>
      </w:pPr>
      <w:hyperlink w:anchor="_Toc106112262" w:history="1">
        <w:r w:rsidRPr="00226E3E">
          <w:rPr>
            <w:rStyle w:val="Hyperlink"/>
          </w:rPr>
          <w:t>În prezent, Fondul pentru modernizare a pus 2,4 miliarde euro la dispoziția României și altor șase țări beneficiare</w:t>
        </w:r>
        <w:r>
          <w:rPr>
            <w:webHidden/>
          </w:rPr>
          <w:tab/>
        </w:r>
        <w:r>
          <w:rPr>
            <w:webHidden/>
          </w:rPr>
          <w:fldChar w:fldCharType="begin"/>
        </w:r>
        <w:r>
          <w:rPr>
            <w:webHidden/>
          </w:rPr>
          <w:instrText xml:space="preserve"> PAGEREF _Toc106112262 \h </w:instrText>
        </w:r>
        <w:r>
          <w:rPr>
            <w:webHidden/>
          </w:rPr>
        </w:r>
        <w:r>
          <w:rPr>
            <w:webHidden/>
          </w:rPr>
          <w:fldChar w:fldCharType="separate"/>
        </w:r>
        <w:r w:rsidR="00AC2C5F">
          <w:rPr>
            <w:webHidden/>
          </w:rPr>
          <w:t>28</w:t>
        </w:r>
        <w:r>
          <w:rPr>
            <w:webHidden/>
          </w:rPr>
          <w:fldChar w:fldCharType="end"/>
        </w:r>
      </w:hyperlink>
    </w:p>
    <w:p w14:paraId="2E358303" w14:textId="77777777" w:rsidR="003D0E04" w:rsidRDefault="003D0E04">
      <w:pPr>
        <w:pStyle w:val="TOC4"/>
        <w:rPr>
          <w:rFonts w:asciiTheme="minorHAnsi" w:eastAsiaTheme="minorEastAsia" w:hAnsiTheme="minorHAnsi" w:cstheme="minorBidi"/>
          <w:sz w:val="22"/>
          <w:szCs w:val="22"/>
          <w:lang w:eastAsia="ro-RO"/>
        </w:rPr>
      </w:pPr>
      <w:hyperlink w:anchor="_Toc106112263" w:history="1">
        <w:r w:rsidRPr="00226E3E">
          <w:rPr>
            <w:rStyle w:val="Hyperlink"/>
          </w:rPr>
          <w:t>Comisia Europeană a aprobat schema de ajutor de stat instituită prin Programul RURAL INVEST</w:t>
        </w:r>
        <w:r>
          <w:rPr>
            <w:webHidden/>
          </w:rPr>
          <w:tab/>
        </w:r>
        <w:r>
          <w:rPr>
            <w:webHidden/>
          </w:rPr>
          <w:fldChar w:fldCharType="begin"/>
        </w:r>
        <w:r>
          <w:rPr>
            <w:webHidden/>
          </w:rPr>
          <w:instrText xml:space="preserve"> PAGEREF _Toc106112263 \h </w:instrText>
        </w:r>
        <w:r>
          <w:rPr>
            <w:webHidden/>
          </w:rPr>
        </w:r>
        <w:r>
          <w:rPr>
            <w:webHidden/>
          </w:rPr>
          <w:fldChar w:fldCharType="separate"/>
        </w:r>
        <w:r w:rsidR="00AC2C5F">
          <w:rPr>
            <w:webHidden/>
          </w:rPr>
          <w:t>29</w:t>
        </w:r>
        <w:r>
          <w:rPr>
            <w:webHidden/>
          </w:rPr>
          <w:fldChar w:fldCharType="end"/>
        </w:r>
      </w:hyperlink>
    </w:p>
    <w:p w14:paraId="55EFC701" w14:textId="77777777" w:rsidR="003D0E04" w:rsidRDefault="003D0E04">
      <w:pPr>
        <w:pStyle w:val="TOC4"/>
        <w:rPr>
          <w:rFonts w:asciiTheme="minorHAnsi" w:eastAsiaTheme="minorEastAsia" w:hAnsiTheme="minorHAnsi" w:cstheme="minorBidi"/>
          <w:sz w:val="22"/>
          <w:szCs w:val="22"/>
          <w:lang w:eastAsia="ro-RO"/>
        </w:rPr>
      </w:pPr>
      <w:hyperlink w:anchor="_Toc106112264" w:history="1">
        <w:r w:rsidRPr="00226E3E">
          <w:rPr>
            <w:rStyle w:val="Hyperlink"/>
          </w:rPr>
          <w:t>Schema de ajutor de minimis pentru susținerea editării revistelor și publicațiilor culturale, aprobată de guvern</w:t>
        </w:r>
        <w:r>
          <w:rPr>
            <w:webHidden/>
          </w:rPr>
          <w:tab/>
        </w:r>
        <w:r>
          <w:rPr>
            <w:webHidden/>
          </w:rPr>
          <w:fldChar w:fldCharType="begin"/>
        </w:r>
        <w:r>
          <w:rPr>
            <w:webHidden/>
          </w:rPr>
          <w:instrText xml:space="preserve"> PAGEREF _Toc106112264 \h </w:instrText>
        </w:r>
        <w:r>
          <w:rPr>
            <w:webHidden/>
          </w:rPr>
        </w:r>
        <w:r>
          <w:rPr>
            <w:webHidden/>
          </w:rPr>
          <w:fldChar w:fldCharType="separate"/>
        </w:r>
        <w:r w:rsidR="00AC2C5F">
          <w:rPr>
            <w:webHidden/>
          </w:rPr>
          <w:t>30</w:t>
        </w:r>
        <w:r>
          <w:rPr>
            <w:webHidden/>
          </w:rPr>
          <w:fldChar w:fldCharType="end"/>
        </w:r>
      </w:hyperlink>
    </w:p>
    <w:p w14:paraId="6AB2650D" w14:textId="780D478D" w:rsidR="003D0E04" w:rsidRDefault="003D0E04">
      <w:pPr>
        <w:pStyle w:val="TOC4"/>
        <w:rPr>
          <w:rFonts w:asciiTheme="minorHAnsi" w:eastAsiaTheme="minorEastAsia" w:hAnsiTheme="minorHAnsi" w:cstheme="minorBidi"/>
          <w:sz w:val="22"/>
          <w:szCs w:val="22"/>
          <w:lang w:eastAsia="ro-RO"/>
        </w:rPr>
      </w:pPr>
      <w:hyperlink w:anchor="_Toc106112265" w:history="1">
        <w:r w:rsidRPr="00226E3E">
          <w:rPr>
            <w:rStyle w:val="Hyperlink"/>
          </w:rPr>
          <w:t>Întreprinderile ce activează în domeniul cercetare-dezvoltare pot accesa finanțări de aproape 36 milioane de euro prin POC</w:t>
        </w:r>
        <w:r>
          <w:rPr>
            <w:webHidden/>
          </w:rPr>
          <w:tab/>
        </w:r>
        <w:r>
          <w:rPr>
            <w:webHidden/>
          </w:rPr>
          <w:fldChar w:fldCharType="begin"/>
        </w:r>
        <w:r>
          <w:rPr>
            <w:webHidden/>
          </w:rPr>
          <w:instrText xml:space="preserve"> PAGEREF _Toc106112265 \h </w:instrText>
        </w:r>
        <w:r>
          <w:rPr>
            <w:webHidden/>
          </w:rPr>
        </w:r>
        <w:r>
          <w:rPr>
            <w:webHidden/>
          </w:rPr>
          <w:fldChar w:fldCharType="separate"/>
        </w:r>
        <w:r w:rsidR="00AC2C5F">
          <w:rPr>
            <w:webHidden/>
          </w:rPr>
          <w:t>31</w:t>
        </w:r>
        <w:r>
          <w:rPr>
            <w:webHidden/>
          </w:rPr>
          <w:fldChar w:fldCharType="end"/>
        </w:r>
      </w:hyperlink>
    </w:p>
    <w:p w14:paraId="58DB8EF2" w14:textId="77777777" w:rsidR="003D0E04" w:rsidRDefault="003D0E04">
      <w:pPr>
        <w:pStyle w:val="TOC4"/>
        <w:rPr>
          <w:rFonts w:asciiTheme="minorHAnsi" w:eastAsiaTheme="minorEastAsia" w:hAnsiTheme="minorHAnsi" w:cstheme="minorBidi"/>
          <w:sz w:val="22"/>
          <w:szCs w:val="22"/>
          <w:lang w:eastAsia="ro-RO"/>
        </w:rPr>
      </w:pPr>
      <w:hyperlink w:anchor="_Toc106112266" w:history="1">
        <w:r w:rsidRPr="00226E3E">
          <w:rPr>
            <w:rStyle w:val="Hyperlink"/>
          </w:rPr>
          <w:t>Aproape 26 milioane de lei pentru eficientizare energetică, servicii sociale și consolidarea poziției pe piață a unor microîntreprinderi prin POR</w:t>
        </w:r>
        <w:r>
          <w:rPr>
            <w:webHidden/>
          </w:rPr>
          <w:tab/>
        </w:r>
        <w:r>
          <w:rPr>
            <w:webHidden/>
          </w:rPr>
          <w:fldChar w:fldCharType="begin"/>
        </w:r>
        <w:r>
          <w:rPr>
            <w:webHidden/>
          </w:rPr>
          <w:instrText xml:space="preserve"> PAGEREF _Toc106112266 \h </w:instrText>
        </w:r>
        <w:r>
          <w:rPr>
            <w:webHidden/>
          </w:rPr>
        </w:r>
        <w:r>
          <w:rPr>
            <w:webHidden/>
          </w:rPr>
          <w:fldChar w:fldCharType="separate"/>
        </w:r>
        <w:r w:rsidR="00AC2C5F">
          <w:rPr>
            <w:webHidden/>
          </w:rPr>
          <w:t>32</w:t>
        </w:r>
        <w:r>
          <w:rPr>
            <w:webHidden/>
          </w:rPr>
          <w:fldChar w:fldCharType="end"/>
        </w:r>
      </w:hyperlink>
    </w:p>
    <w:p w14:paraId="7A07B0FA" w14:textId="77777777" w:rsidR="003D0E04" w:rsidRDefault="003D0E04">
      <w:pPr>
        <w:pStyle w:val="TOC4"/>
        <w:rPr>
          <w:rFonts w:asciiTheme="minorHAnsi" w:eastAsiaTheme="minorEastAsia" w:hAnsiTheme="minorHAnsi" w:cstheme="minorBidi"/>
          <w:sz w:val="22"/>
          <w:szCs w:val="22"/>
          <w:lang w:eastAsia="ro-RO"/>
        </w:rPr>
      </w:pPr>
      <w:hyperlink w:anchor="_Toc106112267" w:history="1">
        <w:r w:rsidRPr="00226E3E">
          <w:rPr>
            <w:rStyle w:val="Hyperlink"/>
          </w:rPr>
          <w:t>POC: Finanțare de 8 milioane de euro pentru întreprinderile inovatoare de tip start-up și spin-off</w:t>
        </w:r>
        <w:r>
          <w:rPr>
            <w:webHidden/>
          </w:rPr>
          <w:tab/>
        </w:r>
        <w:r>
          <w:rPr>
            <w:webHidden/>
          </w:rPr>
          <w:fldChar w:fldCharType="begin"/>
        </w:r>
        <w:r>
          <w:rPr>
            <w:webHidden/>
          </w:rPr>
          <w:instrText xml:space="preserve"> PAGEREF _Toc106112267 \h </w:instrText>
        </w:r>
        <w:r>
          <w:rPr>
            <w:webHidden/>
          </w:rPr>
        </w:r>
        <w:r>
          <w:rPr>
            <w:webHidden/>
          </w:rPr>
          <w:fldChar w:fldCharType="separate"/>
        </w:r>
        <w:r w:rsidR="00AC2C5F">
          <w:rPr>
            <w:webHidden/>
          </w:rPr>
          <w:t>32</w:t>
        </w:r>
        <w:r>
          <w:rPr>
            <w:webHidden/>
          </w:rPr>
          <w:fldChar w:fldCharType="end"/>
        </w:r>
      </w:hyperlink>
    </w:p>
    <w:p w14:paraId="141D6993" w14:textId="77777777" w:rsidR="003D0E04" w:rsidRDefault="003D0E04">
      <w:pPr>
        <w:pStyle w:val="TOC4"/>
        <w:rPr>
          <w:rFonts w:asciiTheme="minorHAnsi" w:eastAsiaTheme="minorEastAsia" w:hAnsiTheme="minorHAnsi" w:cstheme="minorBidi"/>
          <w:sz w:val="22"/>
          <w:szCs w:val="22"/>
          <w:lang w:eastAsia="ro-RO"/>
        </w:rPr>
      </w:pPr>
      <w:hyperlink w:anchor="_Toc106112268" w:history="1">
        <w:r w:rsidRPr="00226E3E">
          <w:rPr>
            <w:rStyle w:val="Hyperlink"/>
          </w:rPr>
          <w:t>POC: 15 milioane de euro pentru asigurarea securității cibernetice a sistemelor TIC și a rețelelor informatice</w:t>
        </w:r>
        <w:r>
          <w:rPr>
            <w:webHidden/>
          </w:rPr>
          <w:tab/>
        </w:r>
        <w:r>
          <w:rPr>
            <w:webHidden/>
          </w:rPr>
          <w:fldChar w:fldCharType="begin"/>
        </w:r>
        <w:r>
          <w:rPr>
            <w:webHidden/>
          </w:rPr>
          <w:instrText xml:space="preserve"> PAGEREF _Toc106112268 \h </w:instrText>
        </w:r>
        <w:r>
          <w:rPr>
            <w:webHidden/>
          </w:rPr>
        </w:r>
        <w:r>
          <w:rPr>
            <w:webHidden/>
          </w:rPr>
          <w:fldChar w:fldCharType="separate"/>
        </w:r>
        <w:r w:rsidR="00AC2C5F">
          <w:rPr>
            <w:webHidden/>
          </w:rPr>
          <w:t>33</w:t>
        </w:r>
        <w:r>
          <w:rPr>
            <w:webHidden/>
          </w:rPr>
          <w:fldChar w:fldCharType="end"/>
        </w:r>
      </w:hyperlink>
    </w:p>
    <w:p w14:paraId="4767DE87" w14:textId="77777777"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69" w:history="1">
        <w:r w:rsidRPr="00226E3E">
          <w:rPr>
            <w:rStyle w:val="Hyperlink"/>
          </w:rPr>
          <w:t>Din actualitatea europeană</w:t>
        </w:r>
        <w:r>
          <w:rPr>
            <w:webHidden/>
          </w:rPr>
          <w:tab/>
        </w:r>
        <w:r>
          <w:rPr>
            <w:webHidden/>
          </w:rPr>
          <w:fldChar w:fldCharType="begin"/>
        </w:r>
        <w:r>
          <w:rPr>
            <w:webHidden/>
          </w:rPr>
          <w:instrText xml:space="preserve"> PAGEREF _Toc106112269 \h </w:instrText>
        </w:r>
        <w:r>
          <w:rPr>
            <w:webHidden/>
          </w:rPr>
        </w:r>
        <w:r>
          <w:rPr>
            <w:webHidden/>
          </w:rPr>
          <w:fldChar w:fldCharType="separate"/>
        </w:r>
        <w:r w:rsidR="00AC2C5F">
          <w:rPr>
            <w:webHidden/>
          </w:rPr>
          <w:t>34</w:t>
        </w:r>
        <w:r>
          <w:rPr>
            <w:webHidden/>
          </w:rPr>
          <w:fldChar w:fldCharType="end"/>
        </w:r>
      </w:hyperlink>
    </w:p>
    <w:p w14:paraId="76D0CEBC" w14:textId="77777777" w:rsidR="003D0E04" w:rsidRDefault="003D0E04">
      <w:pPr>
        <w:pStyle w:val="TOC4"/>
        <w:rPr>
          <w:rFonts w:asciiTheme="minorHAnsi" w:eastAsiaTheme="minorEastAsia" w:hAnsiTheme="minorHAnsi" w:cstheme="minorBidi"/>
          <w:sz w:val="22"/>
          <w:szCs w:val="22"/>
          <w:lang w:eastAsia="ro-RO"/>
        </w:rPr>
      </w:pPr>
      <w:hyperlink w:anchor="_Toc106112270" w:history="1">
        <w:r w:rsidRPr="00226E3E">
          <w:rPr>
            <w:rStyle w:val="Hyperlink"/>
          </w:rPr>
          <w:t>Politica de coeziune a UE: peste 127 milioane EUR pentru modernizarea infrastructurii de apă și apă uzată din România</w:t>
        </w:r>
        <w:r>
          <w:rPr>
            <w:webHidden/>
          </w:rPr>
          <w:tab/>
        </w:r>
        <w:r>
          <w:rPr>
            <w:webHidden/>
          </w:rPr>
          <w:fldChar w:fldCharType="begin"/>
        </w:r>
        <w:r>
          <w:rPr>
            <w:webHidden/>
          </w:rPr>
          <w:instrText xml:space="preserve"> PAGEREF _Toc106112270 \h </w:instrText>
        </w:r>
        <w:r>
          <w:rPr>
            <w:webHidden/>
          </w:rPr>
        </w:r>
        <w:r>
          <w:rPr>
            <w:webHidden/>
          </w:rPr>
          <w:fldChar w:fldCharType="separate"/>
        </w:r>
        <w:r w:rsidR="00AC2C5F">
          <w:rPr>
            <w:webHidden/>
          </w:rPr>
          <w:t>34</w:t>
        </w:r>
        <w:r>
          <w:rPr>
            <w:webHidden/>
          </w:rPr>
          <w:fldChar w:fldCharType="end"/>
        </w:r>
      </w:hyperlink>
    </w:p>
    <w:p w14:paraId="4397FF81" w14:textId="4761CF45" w:rsidR="003D0E04" w:rsidRDefault="003D0E04">
      <w:pPr>
        <w:pStyle w:val="TOC4"/>
        <w:rPr>
          <w:rFonts w:asciiTheme="minorHAnsi" w:eastAsiaTheme="minorEastAsia" w:hAnsiTheme="minorHAnsi" w:cstheme="minorBidi"/>
          <w:sz w:val="22"/>
          <w:szCs w:val="22"/>
          <w:lang w:eastAsia="ro-RO"/>
        </w:rPr>
      </w:pPr>
      <w:hyperlink w:anchor="_Toc106112271" w:history="1">
        <w:r w:rsidRPr="00226E3E">
          <w:rPr>
            <w:rStyle w:val="Hyperlink"/>
          </w:rPr>
          <w:t>Primul festival al noului Bauhaus european începe astăzi la Bruxelles și în toată Europa</w:t>
        </w:r>
        <w:r>
          <w:rPr>
            <w:webHidden/>
          </w:rPr>
          <w:tab/>
        </w:r>
        <w:r>
          <w:rPr>
            <w:webHidden/>
          </w:rPr>
          <w:fldChar w:fldCharType="begin"/>
        </w:r>
        <w:r>
          <w:rPr>
            <w:webHidden/>
          </w:rPr>
          <w:instrText xml:space="preserve"> PAGEREF _Toc106112271 \h </w:instrText>
        </w:r>
        <w:r>
          <w:rPr>
            <w:webHidden/>
          </w:rPr>
        </w:r>
        <w:r>
          <w:rPr>
            <w:webHidden/>
          </w:rPr>
          <w:fldChar w:fldCharType="separate"/>
        </w:r>
        <w:r w:rsidR="00AC2C5F">
          <w:rPr>
            <w:webHidden/>
          </w:rPr>
          <w:t>35</w:t>
        </w:r>
        <w:r>
          <w:rPr>
            <w:webHidden/>
          </w:rPr>
          <w:fldChar w:fldCharType="end"/>
        </w:r>
      </w:hyperlink>
    </w:p>
    <w:p w14:paraId="3931BF6C" w14:textId="00031DFB" w:rsidR="003D0E04" w:rsidRDefault="003D0E04">
      <w:pPr>
        <w:pStyle w:val="TOC4"/>
        <w:rPr>
          <w:rFonts w:asciiTheme="minorHAnsi" w:eastAsiaTheme="minorEastAsia" w:hAnsiTheme="minorHAnsi" w:cstheme="minorBidi"/>
          <w:sz w:val="22"/>
          <w:szCs w:val="22"/>
          <w:lang w:eastAsia="ro-RO"/>
        </w:rPr>
      </w:pPr>
      <w:hyperlink w:anchor="_Toc106112272" w:history="1">
        <w:r w:rsidRPr="00226E3E">
          <w:rPr>
            <w:rStyle w:val="Hyperlink"/>
          </w:rPr>
          <w:t>Întărirea sănătății mintale și a sprijinului psihosocial pentru persoanele strămutate provenind din Ucraina</w:t>
        </w:r>
        <w:r>
          <w:rPr>
            <w:webHidden/>
          </w:rPr>
          <w:tab/>
        </w:r>
        <w:r>
          <w:rPr>
            <w:webHidden/>
          </w:rPr>
          <w:fldChar w:fldCharType="begin"/>
        </w:r>
        <w:r>
          <w:rPr>
            <w:webHidden/>
          </w:rPr>
          <w:instrText xml:space="preserve"> PAGEREF _Toc106112272 \h </w:instrText>
        </w:r>
        <w:r>
          <w:rPr>
            <w:webHidden/>
          </w:rPr>
        </w:r>
        <w:r>
          <w:rPr>
            <w:webHidden/>
          </w:rPr>
          <w:fldChar w:fldCharType="separate"/>
        </w:r>
        <w:r w:rsidR="00AC2C5F">
          <w:rPr>
            <w:webHidden/>
          </w:rPr>
          <w:t>36</w:t>
        </w:r>
        <w:r>
          <w:rPr>
            <w:webHidden/>
          </w:rPr>
          <w:fldChar w:fldCharType="end"/>
        </w:r>
      </w:hyperlink>
    </w:p>
    <w:p w14:paraId="4489579E" w14:textId="77777777" w:rsidR="003D0E04" w:rsidRDefault="003D0E04">
      <w:pPr>
        <w:pStyle w:val="TOC4"/>
        <w:rPr>
          <w:rFonts w:asciiTheme="minorHAnsi" w:eastAsiaTheme="minorEastAsia" w:hAnsiTheme="minorHAnsi" w:cstheme="minorBidi"/>
          <w:sz w:val="22"/>
          <w:szCs w:val="22"/>
          <w:lang w:eastAsia="ro-RO"/>
        </w:rPr>
      </w:pPr>
      <w:hyperlink w:anchor="_Toc106112273" w:history="1">
        <w:r w:rsidRPr="00226E3E">
          <w:rPr>
            <w:rStyle w:val="Hyperlink"/>
          </w:rPr>
          <w:t>Sondajul Eurobarometru Flash privind introducerea monedei euro indică un sprijin larg față de moneda comună în statele membre care nu au adoptat-o încă</w:t>
        </w:r>
        <w:r>
          <w:rPr>
            <w:webHidden/>
          </w:rPr>
          <w:tab/>
        </w:r>
        <w:r>
          <w:rPr>
            <w:webHidden/>
          </w:rPr>
          <w:fldChar w:fldCharType="begin"/>
        </w:r>
        <w:r>
          <w:rPr>
            <w:webHidden/>
          </w:rPr>
          <w:instrText xml:space="preserve"> PAGEREF _Toc106112273 \h </w:instrText>
        </w:r>
        <w:r>
          <w:rPr>
            <w:webHidden/>
          </w:rPr>
        </w:r>
        <w:r>
          <w:rPr>
            <w:webHidden/>
          </w:rPr>
          <w:fldChar w:fldCharType="separate"/>
        </w:r>
        <w:r w:rsidR="00AC2C5F">
          <w:rPr>
            <w:webHidden/>
          </w:rPr>
          <w:t>37</w:t>
        </w:r>
        <w:r>
          <w:rPr>
            <w:webHidden/>
          </w:rPr>
          <w:fldChar w:fldCharType="end"/>
        </w:r>
      </w:hyperlink>
    </w:p>
    <w:p w14:paraId="63F329E1" w14:textId="77777777" w:rsidR="003D0E04" w:rsidRDefault="003D0E04">
      <w:pPr>
        <w:pStyle w:val="TOC4"/>
        <w:rPr>
          <w:rFonts w:asciiTheme="minorHAnsi" w:eastAsiaTheme="minorEastAsia" w:hAnsiTheme="minorHAnsi" w:cstheme="minorBidi"/>
          <w:sz w:val="22"/>
          <w:szCs w:val="22"/>
          <w:lang w:eastAsia="ro-RO"/>
        </w:rPr>
      </w:pPr>
      <w:hyperlink w:anchor="_Toc106112274" w:history="1">
        <w:r w:rsidRPr="00226E3E">
          <w:rPr>
            <w:rStyle w:val="Hyperlink"/>
          </w:rPr>
          <w:t>UE facilitează creșterea exporturilor de produse agricole din Republica Moldova</w:t>
        </w:r>
        <w:r>
          <w:rPr>
            <w:webHidden/>
          </w:rPr>
          <w:tab/>
        </w:r>
        <w:r>
          <w:rPr>
            <w:webHidden/>
          </w:rPr>
          <w:fldChar w:fldCharType="begin"/>
        </w:r>
        <w:r>
          <w:rPr>
            <w:webHidden/>
          </w:rPr>
          <w:instrText xml:space="preserve"> PAGEREF _Toc106112274 \h </w:instrText>
        </w:r>
        <w:r>
          <w:rPr>
            <w:webHidden/>
          </w:rPr>
        </w:r>
        <w:r>
          <w:rPr>
            <w:webHidden/>
          </w:rPr>
          <w:fldChar w:fldCharType="separate"/>
        </w:r>
        <w:r w:rsidR="00AC2C5F">
          <w:rPr>
            <w:webHidden/>
          </w:rPr>
          <w:t>37</w:t>
        </w:r>
        <w:r>
          <w:rPr>
            <w:webHidden/>
          </w:rPr>
          <w:fldChar w:fldCharType="end"/>
        </w:r>
      </w:hyperlink>
    </w:p>
    <w:p w14:paraId="029A82A5" w14:textId="77777777" w:rsidR="003D0E04" w:rsidRDefault="003D0E04">
      <w:pPr>
        <w:pStyle w:val="TOC4"/>
        <w:rPr>
          <w:rFonts w:asciiTheme="minorHAnsi" w:eastAsiaTheme="minorEastAsia" w:hAnsiTheme="minorHAnsi" w:cstheme="minorBidi"/>
          <w:sz w:val="22"/>
          <w:szCs w:val="22"/>
          <w:lang w:eastAsia="ro-RO"/>
        </w:rPr>
      </w:pPr>
      <w:hyperlink w:anchor="_Toc106112275" w:history="1">
        <w:r w:rsidRPr="00226E3E">
          <w:rPr>
            <w:rStyle w:val="Hyperlink"/>
          </w:rPr>
          <w:t>Comisia și autoritățile de protecție a consumatorilor îndeamnă WhatsApp să informeze mai bine consumatorii</w:t>
        </w:r>
        <w:r>
          <w:rPr>
            <w:webHidden/>
          </w:rPr>
          <w:tab/>
        </w:r>
        <w:r>
          <w:rPr>
            <w:webHidden/>
          </w:rPr>
          <w:fldChar w:fldCharType="begin"/>
        </w:r>
        <w:r>
          <w:rPr>
            <w:webHidden/>
          </w:rPr>
          <w:instrText xml:space="preserve"> PAGEREF _Toc106112275 \h </w:instrText>
        </w:r>
        <w:r>
          <w:rPr>
            <w:webHidden/>
          </w:rPr>
        </w:r>
        <w:r>
          <w:rPr>
            <w:webHidden/>
          </w:rPr>
          <w:fldChar w:fldCharType="separate"/>
        </w:r>
        <w:r w:rsidR="00AC2C5F">
          <w:rPr>
            <w:webHidden/>
          </w:rPr>
          <w:t>39</w:t>
        </w:r>
        <w:r>
          <w:rPr>
            <w:webHidden/>
          </w:rPr>
          <w:fldChar w:fldCharType="end"/>
        </w:r>
      </w:hyperlink>
    </w:p>
    <w:p w14:paraId="7C92A89D" w14:textId="77777777" w:rsidR="003D0E04" w:rsidRDefault="003D0E04">
      <w:pPr>
        <w:pStyle w:val="TOC4"/>
        <w:rPr>
          <w:rFonts w:asciiTheme="minorHAnsi" w:eastAsiaTheme="minorEastAsia" w:hAnsiTheme="minorHAnsi" w:cstheme="minorBidi"/>
          <w:sz w:val="22"/>
          <w:szCs w:val="22"/>
          <w:lang w:eastAsia="ro-RO"/>
        </w:rPr>
      </w:pPr>
      <w:hyperlink w:anchor="_Toc106112276" w:history="1">
        <w:r w:rsidRPr="00226E3E">
          <w:rPr>
            <w:rStyle w:val="Hyperlink"/>
          </w:rPr>
          <w:t>CE aprobă o schemă românească în valoare de 357 milioane EUR pentru IMM-urile care își desfășoară activitatea în sectoare extrem de afectate de pandemia de coronavirus</w:t>
        </w:r>
        <w:r>
          <w:rPr>
            <w:webHidden/>
          </w:rPr>
          <w:tab/>
        </w:r>
        <w:r>
          <w:rPr>
            <w:webHidden/>
          </w:rPr>
          <w:fldChar w:fldCharType="begin"/>
        </w:r>
        <w:r>
          <w:rPr>
            <w:webHidden/>
          </w:rPr>
          <w:instrText xml:space="preserve"> PAGEREF _Toc106112276 \h </w:instrText>
        </w:r>
        <w:r>
          <w:rPr>
            <w:webHidden/>
          </w:rPr>
        </w:r>
        <w:r>
          <w:rPr>
            <w:webHidden/>
          </w:rPr>
          <w:fldChar w:fldCharType="separate"/>
        </w:r>
        <w:r w:rsidR="00AC2C5F">
          <w:rPr>
            <w:webHidden/>
          </w:rPr>
          <w:t>39</w:t>
        </w:r>
        <w:r>
          <w:rPr>
            <w:webHidden/>
          </w:rPr>
          <w:fldChar w:fldCharType="end"/>
        </w:r>
      </w:hyperlink>
    </w:p>
    <w:p w14:paraId="215B837A" w14:textId="77777777" w:rsidR="003D0E04" w:rsidRDefault="003D0E04">
      <w:pPr>
        <w:pStyle w:val="TOC4"/>
        <w:rPr>
          <w:rFonts w:asciiTheme="minorHAnsi" w:eastAsiaTheme="minorEastAsia" w:hAnsiTheme="minorHAnsi" w:cstheme="minorBidi"/>
          <w:sz w:val="22"/>
          <w:szCs w:val="22"/>
          <w:lang w:eastAsia="ro-RO"/>
        </w:rPr>
      </w:pPr>
      <w:hyperlink w:anchor="_Toc106112277" w:history="1">
        <w:r w:rsidRPr="00226E3E">
          <w:rPr>
            <w:rStyle w:val="Hyperlink"/>
          </w:rPr>
          <w:t>Fondul pentru modernizare investește 2,4 miliarde EUR pentru a accelera tranziția verde în România și alte 6 țări beneficiare</w:t>
        </w:r>
        <w:r>
          <w:rPr>
            <w:webHidden/>
          </w:rPr>
          <w:tab/>
        </w:r>
        <w:r>
          <w:rPr>
            <w:webHidden/>
          </w:rPr>
          <w:fldChar w:fldCharType="begin"/>
        </w:r>
        <w:r>
          <w:rPr>
            <w:webHidden/>
          </w:rPr>
          <w:instrText xml:space="preserve"> PAGEREF _Toc106112277 \h </w:instrText>
        </w:r>
        <w:r>
          <w:rPr>
            <w:webHidden/>
          </w:rPr>
        </w:r>
        <w:r>
          <w:rPr>
            <w:webHidden/>
          </w:rPr>
          <w:fldChar w:fldCharType="separate"/>
        </w:r>
        <w:r w:rsidR="00AC2C5F">
          <w:rPr>
            <w:webHidden/>
          </w:rPr>
          <w:t>40</w:t>
        </w:r>
        <w:r>
          <w:rPr>
            <w:webHidden/>
          </w:rPr>
          <w:fldChar w:fldCharType="end"/>
        </w:r>
      </w:hyperlink>
    </w:p>
    <w:p w14:paraId="4ECFB437" w14:textId="77777777" w:rsidR="003D0E04" w:rsidRDefault="003D0E04">
      <w:pPr>
        <w:pStyle w:val="TOC4"/>
        <w:rPr>
          <w:rFonts w:asciiTheme="minorHAnsi" w:eastAsiaTheme="minorEastAsia" w:hAnsiTheme="minorHAnsi" w:cstheme="minorBidi"/>
          <w:sz w:val="22"/>
          <w:szCs w:val="22"/>
          <w:lang w:eastAsia="ro-RO"/>
        </w:rPr>
      </w:pPr>
      <w:hyperlink w:anchor="_Toc106112278" w:history="1">
        <w:r w:rsidRPr="00226E3E">
          <w:rPr>
            <w:rStyle w:val="Hyperlink"/>
          </w:rPr>
          <w:t>Comisia salută acordul politic privind un încărcător comun în UE</w:t>
        </w:r>
        <w:r>
          <w:rPr>
            <w:webHidden/>
          </w:rPr>
          <w:tab/>
        </w:r>
        <w:r>
          <w:rPr>
            <w:webHidden/>
          </w:rPr>
          <w:fldChar w:fldCharType="begin"/>
        </w:r>
        <w:r>
          <w:rPr>
            <w:webHidden/>
          </w:rPr>
          <w:instrText xml:space="preserve"> PAGEREF _Toc106112278 \h </w:instrText>
        </w:r>
        <w:r>
          <w:rPr>
            <w:webHidden/>
          </w:rPr>
        </w:r>
        <w:r>
          <w:rPr>
            <w:webHidden/>
          </w:rPr>
          <w:fldChar w:fldCharType="separate"/>
        </w:r>
        <w:r w:rsidR="00AC2C5F">
          <w:rPr>
            <w:webHidden/>
          </w:rPr>
          <w:t>42</w:t>
        </w:r>
        <w:r>
          <w:rPr>
            <w:webHidden/>
          </w:rPr>
          <w:fldChar w:fldCharType="end"/>
        </w:r>
      </w:hyperlink>
    </w:p>
    <w:p w14:paraId="1141741B" w14:textId="77777777" w:rsidR="003D0E04" w:rsidRDefault="003D0E04">
      <w:pPr>
        <w:pStyle w:val="TOC4"/>
        <w:rPr>
          <w:rFonts w:asciiTheme="minorHAnsi" w:eastAsiaTheme="minorEastAsia" w:hAnsiTheme="minorHAnsi" w:cstheme="minorBidi"/>
          <w:sz w:val="22"/>
          <w:szCs w:val="22"/>
          <w:lang w:eastAsia="ro-RO"/>
        </w:rPr>
      </w:pPr>
      <w:hyperlink w:anchor="_Toc106112279" w:history="1">
        <w:r w:rsidRPr="00226E3E">
          <w:rPr>
            <w:rStyle w:val="Hyperlink"/>
          </w:rPr>
          <w:t>Ajutor de stat: Comisia aprobă o schemă românească în valoare de 605 milioane EUR pentru sprijinirea IMM-urilor care își desfășoară activitatea în sectorul construcțiilor</w:t>
        </w:r>
        <w:r>
          <w:rPr>
            <w:webHidden/>
          </w:rPr>
          <w:tab/>
        </w:r>
        <w:r>
          <w:rPr>
            <w:webHidden/>
          </w:rPr>
          <w:fldChar w:fldCharType="begin"/>
        </w:r>
        <w:r>
          <w:rPr>
            <w:webHidden/>
          </w:rPr>
          <w:instrText xml:space="preserve"> PAGEREF _Toc106112279 \h </w:instrText>
        </w:r>
        <w:r>
          <w:rPr>
            <w:webHidden/>
          </w:rPr>
        </w:r>
        <w:r>
          <w:rPr>
            <w:webHidden/>
          </w:rPr>
          <w:fldChar w:fldCharType="separate"/>
        </w:r>
        <w:r w:rsidR="00AC2C5F">
          <w:rPr>
            <w:webHidden/>
          </w:rPr>
          <w:t>43</w:t>
        </w:r>
        <w:r>
          <w:rPr>
            <w:webHidden/>
          </w:rPr>
          <w:fldChar w:fldCharType="end"/>
        </w:r>
      </w:hyperlink>
    </w:p>
    <w:p w14:paraId="170FE649" w14:textId="77777777" w:rsidR="003D0E04" w:rsidRDefault="003D0E04">
      <w:pPr>
        <w:pStyle w:val="TOC4"/>
        <w:rPr>
          <w:rFonts w:asciiTheme="minorHAnsi" w:eastAsiaTheme="minorEastAsia" w:hAnsiTheme="minorHAnsi" w:cstheme="minorBidi"/>
          <w:sz w:val="22"/>
          <w:szCs w:val="22"/>
          <w:lang w:eastAsia="ro-RO"/>
        </w:rPr>
      </w:pPr>
      <w:hyperlink w:anchor="_Toc106112280" w:history="1">
        <w:r w:rsidRPr="00226E3E">
          <w:rPr>
            <w:rStyle w:val="Hyperlink"/>
          </w:rPr>
          <w:t>Ajutoare de stat: Comisia aprobă o schemă românească în valoare de 606 milioane EUR pentru sprijinirea activității economice în zonele urbane și rurale mici</w:t>
        </w:r>
        <w:r>
          <w:rPr>
            <w:webHidden/>
          </w:rPr>
          <w:tab/>
        </w:r>
        <w:r>
          <w:rPr>
            <w:webHidden/>
          </w:rPr>
          <w:fldChar w:fldCharType="begin"/>
        </w:r>
        <w:r>
          <w:rPr>
            <w:webHidden/>
          </w:rPr>
          <w:instrText xml:space="preserve"> PAGEREF _Toc106112280 \h </w:instrText>
        </w:r>
        <w:r>
          <w:rPr>
            <w:webHidden/>
          </w:rPr>
        </w:r>
        <w:r>
          <w:rPr>
            <w:webHidden/>
          </w:rPr>
          <w:fldChar w:fldCharType="separate"/>
        </w:r>
        <w:r w:rsidR="00AC2C5F">
          <w:rPr>
            <w:webHidden/>
          </w:rPr>
          <w:t>44</w:t>
        </w:r>
        <w:r>
          <w:rPr>
            <w:webHidden/>
          </w:rPr>
          <w:fldChar w:fldCharType="end"/>
        </w:r>
      </w:hyperlink>
    </w:p>
    <w:p w14:paraId="58023404" w14:textId="77777777" w:rsidR="003D0E04" w:rsidRDefault="003D0E04">
      <w:pPr>
        <w:pStyle w:val="TOC4"/>
        <w:rPr>
          <w:rFonts w:asciiTheme="minorHAnsi" w:eastAsiaTheme="minorEastAsia" w:hAnsiTheme="minorHAnsi" w:cstheme="minorBidi"/>
          <w:sz w:val="22"/>
          <w:szCs w:val="22"/>
          <w:lang w:eastAsia="ro-RO"/>
        </w:rPr>
      </w:pPr>
      <w:hyperlink w:anchor="_Toc106112281" w:history="1">
        <w:r w:rsidRPr="00226E3E">
          <w:rPr>
            <w:rStyle w:val="Hyperlink"/>
          </w:rPr>
          <w:t>Comisia își exprimă satisfacția cu privire la acordul politic privind salarii minime adecvate pentru lucrătorii din UE</w:t>
        </w:r>
        <w:r>
          <w:rPr>
            <w:webHidden/>
          </w:rPr>
          <w:tab/>
        </w:r>
        <w:r>
          <w:rPr>
            <w:webHidden/>
          </w:rPr>
          <w:fldChar w:fldCharType="begin"/>
        </w:r>
        <w:r>
          <w:rPr>
            <w:webHidden/>
          </w:rPr>
          <w:instrText xml:space="preserve"> PAGEREF _Toc106112281 \h </w:instrText>
        </w:r>
        <w:r>
          <w:rPr>
            <w:webHidden/>
          </w:rPr>
        </w:r>
        <w:r>
          <w:rPr>
            <w:webHidden/>
          </w:rPr>
          <w:fldChar w:fldCharType="separate"/>
        </w:r>
        <w:r w:rsidR="00AC2C5F">
          <w:rPr>
            <w:webHidden/>
          </w:rPr>
          <w:t>45</w:t>
        </w:r>
        <w:r>
          <w:rPr>
            <w:webHidden/>
          </w:rPr>
          <w:fldChar w:fldCharType="end"/>
        </w:r>
      </w:hyperlink>
    </w:p>
    <w:p w14:paraId="679271D1" w14:textId="77777777" w:rsidR="003D0E04" w:rsidRDefault="003D0E04">
      <w:pPr>
        <w:pStyle w:val="TOC2"/>
        <w:rPr>
          <w:rFonts w:asciiTheme="minorHAnsi" w:eastAsiaTheme="minorEastAsia" w:hAnsiTheme="minorHAnsi" w:cstheme="minorBidi"/>
          <w:b w:val="0"/>
          <w:bCs w:val="0"/>
          <w:smallCaps w:val="0"/>
          <w:sz w:val="22"/>
          <w:szCs w:val="22"/>
          <w:lang w:eastAsia="ro-RO"/>
        </w:rPr>
      </w:pPr>
      <w:hyperlink w:anchor="_Toc106112282" w:history="1">
        <w:r w:rsidRPr="00226E3E">
          <w:rPr>
            <w:rStyle w:val="Hyperlink"/>
          </w:rPr>
          <w:t>Ucraina</w:t>
        </w:r>
        <w:r>
          <w:rPr>
            <w:webHidden/>
          </w:rPr>
          <w:tab/>
        </w:r>
        <w:r>
          <w:rPr>
            <w:webHidden/>
          </w:rPr>
          <w:fldChar w:fldCharType="begin"/>
        </w:r>
        <w:r>
          <w:rPr>
            <w:webHidden/>
          </w:rPr>
          <w:instrText xml:space="preserve"> PAGEREF _Toc106112282 \h </w:instrText>
        </w:r>
        <w:r>
          <w:rPr>
            <w:webHidden/>
          </w:rPr>
        </w:r>
        <w:r>
          <w:rPr>
            <w:webHidden/>
          </w:rPr>
          <w:fldChar w:fldCharType="separate"/>
        </w:r>
        <w:r w:rsidR="00AC2C5F">
          <w:rPr>
            <w:webHidden/>
          </w:rPr>
          <w:t>47</w:t>
        </w:r>
        <w:r>
          <w:rPr>
            <w:webHidden/>
          </w:rPr>
          <w:fldChar w:fldCharType="end"/>
        </w:r>
      </w:hyperlink>
    </w:p>
    <w:p w14:paraId="78253C22" w14:textId="77777777" w:rsidR="003D0E04" w:rsidRDefault="003D0E04">
      <w:pPr>
        <w:pStyle w:val="TOC4"/>
        <w:rPr>
          <w:rFonts w:asciiTheme="minorHAnsi" w:eastAsiaTheme="minorEastAsia" w:hAnsiTheme="minorHAnsi" w:cstheme="minorBidi"/>
          <w:sz w:val="22"/>
          <w:szCs w:val="22"/>
          <w:lang w:eastAsia="ro-RO"/>
        </w:rPr>
      </w:pPr>
      <w:hyperlink w:anchor="_Toc106112283" w:history="1">
        <w:r w:rsidRPr="00226E3E">
          <w:rPr>
            <w:rStyle w:val="Hyperlink"/>
          </w:rPr>
          <w:t>UE oferă sprijin în valoare de 20 de milioane EUR întreprinderilor nou-înființate din Ucraina prin intermediul Consiliului European pentru Inovare</w:t>
        </w:r>
        <w:r>
          <w:rPr>
            <w:webHidden/>
          </w:rPr>
          <w:tab/>
        </w:r>
        <w:r>
          <w:rPr>
            <w:webHidden/>
          </w:rPr>
          <w:fldChar w:fldCharType="begin"/>
        </w:r>
        <w:r>
          <w:rPr>
            <w:webHidden/>
          </w:rPr>
          <w:instrText xml:space="preserve"> PAGEREF _Toc106112283 \h </w:instrText>
        </w:r>
        <w:r>
          <w:rPr>
            <w:webHidden/>
          </w:rPr>
        </w:r>
        <w:r>
          <w:rPr>
            <w:webHidden/>
          </w:rPr>
          <w:fldChar w:fldCharType="separate"/>
        </w:r>
        <w:r w:rsidR="00AC2C5F">
          <w:rPr>
            <w:webHidden/>
          </w:rPr>
          <w:t>47</w:t>
        </w:r>
        <w:r>
          <w:rPr>
            <w:webHidden/>
          </w:rPr>
          <w:fldChar w:fldCharType="end"/>
        </w:r>
      </w:hyperlink>
    </w:p>
    <w:p w14:paraId="4780E30E" w14:textId="77777777" w:rsidR="003D0E04" w:rsidRDefault="003D0E04">
      <w:pPr>
        <w:pStyle w:val="TOC4"/>
        <w:rPr>
          <w:rFonts w:asciiTheme="minorHAnsi" w:eastAsiaTheme="minorEastAsia" w:hAnsiTheme="minorHAnsi" w:cstheme="minorBidi"/>
          <w:sz w:val="22"/>
          <w:szCs w:val="22"/>
          <w:lang w:eastAsia="ro-RO"/>
        </w:rPr>
      </w:pPr>
      <w:hyperlink w:anchor="_Toc106112284" w:history="1">
        <w:r w:rsidRPr="00226E3E">
          <w:rPr>
            <w:rStyle w:val="Hyperlink"/>
          </w:rPr>
          <w:t>Mai multe programe Interreg vor beneficia de o finanțare majorată pentru anul 2022!</w:t>
        </w:r>
        <w:r>
          <w:rPr>
            <w:webHidden/>
          </w:rPr>
          <w:tab/>
        </w:r>
        <w:r>
          <w:rPr>
            <w:webHidden/>
          </w:rPr>
          <w:fldChar w:fldCharType="begin"/>
        </w:r>
        <w:r>
          <w:rPr>
            <w:webHidden/>
          </w:rPr>
          <w:instrText xml:space="preserve"> PAGEREF _Toc106112284 \h </w:instrText>
        </w:r>
        <w:r>
          <w:rPr>
            <w:webHidden/>
          </w:rPr>
        </w:r>
        <w:r>
          <w:rPr>
            <w:webHidden/>
          </w:rPr>
          <w:fldChar w:fldCharType="separate"/>
        </w:r>
        <w:r w:rsidR="00AC2C5F">
          <w:rPr>
            <w:webHidden/>
          </w:rPr>
          <w:t>48</w:t>
        </w:r>
        <w:r>
          <w:rPr>
            <w:webHidden/>
          </w:rPr>
          <w:fldChar w:fldCharType="end"/>
        </w:r>
      </w:hyperlink>
    </w:p>
    <w:p w14:paraId="36936FEC" w14:textId="77777777" w:rsidR="003D0E04" w:rsidRDefault="003D0E04">
      <w:pPr>
        <w:pStyle w:val="TOC4"/>
        <w:rPr>
          <w:rFonts w:asciiTheme="minorHAnsi" w:eastAsiaTheme="minorEastAsia" w:hAnsiTheme="minorHAnsi" w:cstheme="minorBidi"/>
          <w:sz w:val="22"/>
          <w:szCs w:val="22"/>
          <w:lang w:eastAsia="ro-RO"/>
        </w:rPr>
      </w:pPr>
      <w:hyperlink w:anchor="_Toc106112285" w:history="1">
        <w:r w:rsidRPr="00226E3E">
          <w:rPr>
            <w:rStyle w:val="Hyperlink"/>
          </w:rPr>
          <w:t>Culoarele de solidaritate: Comisia Europeană lansează o platformă de cooperare între întreprinderile din UE și din Ucraina</w:t>
        </w:r>
        <w:r>
          <w:rPr>
            <w:webHidden/>
          </w:rPr>
          <w:tab/>
        </w:r>
        <w:r>
          <w:rPr>
            <w:webHidden/>
          </w:rPr>
          <w:fldChar w:fldCharType="begin"/>
        </w:r>
        <w:r>
          <w:rPr>
            <w:webHidden/>
          </w:rPr>
          <w:instrText xml:space="preserve"> PAGEREF _Toc106112285 \h </w:instrText>
        </w:r>
        <w:r>
          <w:rPr>
            <w:webHidden/>
          </w:rPr>
        </w:r>
        <w:r>
          <w:rPr>
            <w:webHidden/>
          </w:rPr>
          <w:fldChar w:fldCharType="separate"/>
        </w:r>
        <w:r w:rsidR="00AC2C5F">
          <w:rPr>
            <w:webHidden/>
          </w:rPr>
          <w:t>49</w:t>
        </w:r>
        <w:r>
          <w:rPr>
            <w:webHidden/>
          </w:rPr>
          <w:fldChar w:fldCharType="end"/>
        </w:r>
      </w:hyperlink>
    </w:p>
    <w:p w14:paraId="2C1483C0" w14:textId="3A34A6E7" w:rsidR="00D92761" w:rsidRDefault="00D55F50" w:rsidP="00D85DDD">
      <w:pPr>
        <w:pStyle w:val="TOC4"/>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2"/>
    </w:p>
    <w:p w14:paraId="00276F5C" w14:textId="5F88B86F" w:rsidR="00D92761" w:rsidRDefault="00D92761">
      <w:pPr>
        <w:spacing w:before="0"/>
      </w:pPr>
      <w:r>
        <w:br w:type="page"/>
      </w:r>
    </w:p>
    <w:p w14:paraId="4FA8C69A" w14:textId="7C0BE809" w:rsidR="006538AC" w:rsidRDefault="003075AF" w:rsidP="00B2000B">
      <w:pPr>
        <w:pStyle w:val="AgendaPrefect"/>
        <w:spacing w:before="0" w:after="0"/>
        <w:ind w:right="198"/>
        <w:rPr>
          <w:rFonts w:ascii="Book Antiqua" w:hAnsi="Book Antiqua"/>
          <w:color w:val="auto"/>
          <w:spacing w:val="-6"/>
          <w:sz w:val="20"/>
        </w:rPr>
      </w:pPr>
      <w:bookmarkStart w:id="11" w:name="_Toc10611222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664A40">
        <w:rPr>
          <w:rFonts w:ascii="Book Antiqua" w:hAnsi="Book Antiqua"/>
          <w:color w:val="auto"/>
          <w:spacing w:val="-6"/>
          <w:sz w:val="20"/>
        </w:rPr>
        <w:t>6</w:t>
      </w:r>
      <w:r w:rsidR="00513108" w:rsidRPr="00513108">
        <w:rPr>
          <w:rFonts w:ascii="Book Antiqua" w:hAnsi="Book Antiqua"/>
          <w:color w:val="auto"/>
          <w:spacing w:val="-6"/>
          <w:sz w:val="20"/>
        </w:rPr>
        <w:t xml:space="preserve"> – </w:t>
      </w:r>
      <w:r w:rsidR="00664A40">
        <w:rPr>
          <w:rFonts w:ascii="Book Antiqua" w:hAnsi="Book Antiqua"/>
          <w:color w:val="auto"/>
          <w:spacing w:val="-6"/>
          <w:sz w:val="20"/>
        </w:rPr>
        <w:t>12</w:t>
      </w:r>
      <w:r w:rsidR="00513108" w:rsidRPr="00513108">
        <w:rPr>
          <w:rFonts w:ascii="Book Antiqua" w:hAnsi="Book Antiqua"/>
          <w:color w:val="auto"/>
          <w:spacing w:val="-6"/>
          <w:sz w:val="20"/>
        </w:rPr>
        <w:t xml:space="preserve"> iunie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1"/>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7B4846" w:rsidRPr="005B3B49" w14:paraId="1A3A2CC1" w14:textId="77777777" w:rsidTr="005B3B49">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617E90E6" w:rsidR="007B4846" w:rsidRPr="0041223A" w:rsidRDefault="00E6686C" w:rsidP="00E8313E">
            <w:pPr>
              <w:spacing w:before="40"/>
              <w:ind w:right="198"/>
              <w:jc w:val="both"/>
              <w:rPr>
                <w:rFonts w:ascii="Book Antiqua" w:hAnsi="Book Antiqua" w:cstheme="minorHAnsi"/>
                <w:i/>
                <w:iCs/>
                <w:color w:val="000000" w:themeColor="text1"/>
                <w:sz w:val="22"/>
                <w:szCs w:val="22"/>
              </w:rPr>
            </w:pPr>
            <w:r w:rsidRPr="00E6686C">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67FAEC6C" w:rsidR="007B4846" w:rsidRPr="00664A40" w:rsidRDefault="00664A40" w:rsidP="005B3B49">
            <w:pPr>
              <w:ind w:right="198"/>
              <w:rPr>
                <w:rFonts w:ascii="Book Antiqua" w:hAnsi="Book Antiqua" w:cstheme="minorHAnsi"/>
                <w:b/>
                <w:i/>
                <w:iCs/>
                <w:color w:val="000000" w:themeColor="text1"/>
                <w:sz w:val="22"/>
                <w:szCs w:val="22"/>
              </w:rPr>
            </w:pPr>
            <w:r w:rsidRPr="00664A40">
              <w:rPr>
                <w:rFonts w:ascii="Book Antiqua" w:hAnsi="Book Antiqua" w:cstheme="minorHAnsi"/>
                <w:b/>
                <w:i/>
                <w:iCs/>
                <w:color w:val="000000" w:themeColor="text1"/>
                <w:sz w:val="22"/>
                <w:szCs w:val="22"/>
              </w:rPr>
              <w:t>6 iunie</w:t>
            </w:r>
          </w:p>
        </w:tc>
      </w:tr>
      <w:tr w:rsidR="00BD498F" w:rsidRPr="00621B33" w14:paraId="248E179B" w14:textId="77777777" w:rsidTr="005B5338">
        <w:trPr>
          <w:trHeight w:val="463"/>
        </w:trPr>
        <w:tc>
          <w:tcPr>
            <w:tcW w:w="4304" w:type="pct"/>
            <w:tcBorders>
              <w:top w:val="dotted" w:sz="4" w:space="0" w:color="A6A6A6"/>
              <w:left w:val="nil"/>
              <w:bottom w:val="dotted" w:sz="4" w:space="0" w:color="A6A6A6"/>
              <w:right w:val="double" w:sz="4" w:space="0" w:color="006600"/>
            </w:tcBorders>
            <w:shd w:val="clear" w:color="auto" w:fill="auto"/>
          </w:tcPr>
          <w:p w14:paraId="76798C1A" w14:textId="756DF985" w:rsidR="00BD498F" w:rsidRPr="0041223A" w:rsidRDefault="00BD498F" w:rsidP="00BD498F">
            <w:pPr>
              <w:spacing w:before="40"/>
              <w:ind w:right="198"/>
              <w:jc w:val="both"/>
              <w:rPr>
                <w:rFonts w:ascii="Book Antiqua" w:hAnsi="Book Antiqua" w:cstheme="minorHAnsi"/>
                <w:i/>
                <w:iCs/>
                <w:color w:val="000000" w:themeColor="text1"/>
                <w:sz w:val="22"/>
                <w:szCs w:val="22"/>
              </w:rPr>
            </w:pPr>
            <w:r w:rsidRPr="00E6686C">
              <w:rPr>
                <w:rFonts w:ascii="Book Antiqua" w:hAnsi="Book Antiqua" w:cstheme="minorHAnsi"/>
                <w:i/>
                <w:iCs/>
                <w:color w:val="000000" w:themeColor="text1"/>
                <w:sz w:val="22"/>
                <w:szCs w:val="22"/>
              </w:rPr>
              <w:t>Întâlnire operativă cu reprezentan</w:t>
            </w:r>
            <w:r w:rsidRPr="00E6686C">
              <w:rPr>
                <w:rFonts w:ascii="Cambria" w:hAnsi="Cambria" w:cs="Cambria"/>
                <w:i/>
                <w:iCs/>
                <w:color w:val="000000" w:themeColor="text1"/>
                <w:sz w:val="22"/>
                <w:szCs w:val="22"/>
              </w:rPr>
              <w:t>ț</w:t>
            </w:r>
            <w:r w:rsidRPr="00E6686C">
              <w:rPr>
                <w:rFonts w:ascii="Book Antiqua" w:hAnsi="Book Antiqua" w:cstheme="minorHAnsi"/>
                <w:i/>
                <w:iCs/>
                <w:color w:val="000000" w:themeColor="text1"/>
                <w:sz w:val="22"/>
                <w:szCs w:val="22"/>
              </w:rPr>
              <w:t>ii IPJ Hunedoara, ISU Hunedoara, IJJ Hunedoara, DSP Huneoara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218FDCF7" w:rsidR="00BD498F" w:rsidRPr="000049F8" w:rsidRDefault="00BD498F" w:rsidP="00BD498F">
            <w:pPr>
              <w:ind w:right="198"/>
              <w:rPr>
                <w:rFonts w:ascii="Book Antiqua" w:hAnsi="Book Antiqua" w:cstheme="minorHAnsi"/>
                <w:b/>
                <w:i/>
                <w:iCs/>
                <w:color w:val="000000" w:themeColor="text1"/>
                <w:sz w:val="22"/>
                <w:szCs w:val="22"/>
              </w:rPr>
            </w:pPr>
            <w:r w:rsidRPr="00627CE1">
              <w:rPr>
                <w:rFonts w:ascii="Book Antiqua" w:hAnsi="Book Antiqua" w:cstheme="minorHAnsi"/>
                <w:b/>
                <w:i/>
                <w:iCs/>
                <w:color w:val="000000" w:themeColor="text1"/>
                <w:sz w:val="22"/>
                <w:szCs w:val="22"/>
              </w:rPr>
              <w:t>6 iunie</w:t>
            </w:r>
          </w:p>
        </w:tc>
      </w:tr>
      <w:tr w:rsidR="00BD498F"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613945A9" w:rsidR="00BD498F" w:rsidRPr="0041223A" w:rsidRDefault="00BD498F" w:rsidP="00BD498F">
            <w:pPr>
              <w:spacing w:before="40"/>
              <w:ind w:right="198"/>
              <w:jc w:val="both"/>
              <w:rPr>
                <w:rFonts w:ascii="Book Antiqua" w:hAnsi="Book Antiqua" w:cstheme="minorHAnsi"/>
                <w:i/>
                <w:iCs/>
                <w:color w:val="000000" w:themeColor="text1"/>
                <w:sz w:val="22"/>
                <w:szCs w:val="22"/>
              </w:rPr>
            </w:pPr>
            <w:r w:rsidRPr="00E6686C">
              <w:rPr>
                <w:rFonts w:ascii="Book Antiqua" w:hAnsi="Book Antiqua" w:cstheme="minorHAnsi"/>
                <w:i/>
                <w:iCs/>
                <w:color w:val="000000" w:themeColor="text1"/>
                <w:sz w:val="22"/>
                <w:szCs w:val="22"/>
              </w:rPr>
              <w:t>Intâlnire de lucru cu directorul Gărzii de MediuHunedoara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271CB7BD" w:rsidR="00BD498F" w:rsidRPr="000049F8" w:rsidRDefault="00BD498F" w:rsidP="00BD498F">
            <w:pPr>
              <w:ind w:right="198"/>
              <w:rPr>
                <w:rFonts w:ascii="Book Antiqua" w:hAnsi="Book Antiqua" w:cstheme="minorHAnsi"/>
                <w:b/>
                <w:i/>
                <w:iCs/>
                <w:color w:val="000000" w:themeColor="text1"/>
                <w:sz w:val="22"/>
                <w:szCs w:val="22"/>
              </w:rPr>
            </w:pPr>
            <w:r w:rsidRPr="00627CE1">
              <w:rPr>
                <w:rFonts w:ascii="Book Antiqua" w:hAnsi="Book Antiqua" w:cstheme="minorHAnsi"/>
                <w:b/>
                <w:i/>
                <w:iCs/>
                <w:color w:val="000000" w:themeColor="text1"/>
                <w:sz w:val="22"/>
                <w:szCs w:val="22"/>
              </w:rPr>
              <w:t>6 iunie</w:t>
            </w:r>
          </w:p>
        </w:tc>
      </w:tr>
      <w:tr w:rsidR="00BD498F" w:rsidRPr="00621B33" w14:paraId="65685C04" w14:textId="77777777" w:rsidTr="005B3B49">
        <w:trPr>
          <w:trHeight w:val="435"/>
        </w:trPr>
        <w:tc>
          <w:tcPr>
            <w:tcW w:w="4304" w:type="pct"/>
            <w:tcBorders>
              <w:top w:val="dotted" w:sz="4" w:space="0" w:color="A6A6A6"/>
              <w:left w:val="nil"/>
              <w:bottom w:val="dotted" w:sz="4" w:space="0" w:color="A6A6A6"/>
              <w:right w:val="double" w:sz="4" w:space="0" w:color="006600"/>
            </w:tcBorders>
            <w:shd w:val="clear" w:color="auto" w:fill="auto"/>
            <w:vAlign w:val="bottom"/>
          </w:tcPr>
          <w:p w14:paraId="22BFF14F" w14:textId="63E7428C" w:rsidR="00BD498F" w:rsidRPr="007D0B8B" w:rsidRDefault="00BD498F" w:rsidP="00BD498F">
            <w:pPr>
              <w:spacing w:before="40"/>
              <w:ind w:right="198"/>
              <w:jc w:val="both"/>
              <w:rPr>
                <w:rFonts w:ascii="Book Antiqua" w:hAnsi="Book Antiqua" w:cstheme="minorHAnsi"/>
                <w:i/>
                <w:iCs/>
                <w:color w:val="000000" w:themeColor="text1"/>
                <w:sz w:val="22"/>
                <w:szCs w:val="22"/>
              </w:rPr>
            </w:pPr>
            <w:r w:rsidRPr="00BD498F">
              <w:rPr>
                <w:rFonts w:ascii="Book Antiqua" w:hAnsi="Book Antiqua" w:cstheme="minorHAnsi"/>
                <w:i/>
                <w:iCs/>
                <w:color w:val="000000" w:themeColor="text1"/>
                <w:sz w:val="22"/>
                <w:szCs w:val="22"/>
              </w:rPr>
              <w:t>Participare la la ceremonialul depunerii jurământului de către cei 14 viitori pompieri care au devenit membri ai echipei Inspectoratului pentru Situa</w:t>
            </w:r>
            <w:r w:rsidRPr="00BD498F">
              <w:rPr>
                <w:rFonts w:ascii="Cambria" w:hAnsi="Cambria" w:cs="Cambria"/>
                <w:i/>
                <w:iCs/>
                <w:color w:val="000000" w:themeColor="text1"/>
                <w:sz w:val="22"/>
                <w:szCs w:val="22"/>
              </w:rPr>
              <w:t>ț</w:t>
            </w:r>
            <w:r w:rsidRPr="00BD498F">
              <w:rPr>
                <w:rFonts w:ascii="Book Antiqua" w:hAnsi="Book Antiqua" w:cstheme="minorHAnsi"/>
                <w:i/>
                <w:iCs/>
                <w:color w:val="000000" w:themeColor="text1"/>
                <w:sz w:val="22"/>
                <w:szCs w:val="22"/>
              </w:rPr>
              <w:t>ii de Urgen</w:t>
            </w:r>
            <w:r w:rsidRPr="00BD498F">
              <w:rPr>
                <w:rFonts w:ascii="Cambria" w:hAnsi="Cambria" w:cs="Cambria"/>
                <w:i/>
                <w:iCs/>
                <w:color w:val="000000" w:themeColor="text1"/>
                <w:sz w:val="22"/>
                <w:szCs w:val="22"/>
              </w:rPr>
              <w:t>ț</w:t>
            </w:r>
            <w:r w:rsidRPr="00BD498F">
              <w:rPr>
                <w:rFonts w:ascii="Book Antiqua" w:hAnsi="Book Antiqua" w:cs="Book Antiqua"/>
                <w:i/>
                <w:iCs/>
                <w:color w:val="000000" w:themeColor="text1"/>
                <w:sz w:val="22"/>
                <w:szCs w:val="22"/>
              </w:rPr>
              <w:t>ă</w:t>
            </w:r>
            <w:r w:rsidRPr="00BD498F">
              <w:rPr>
                <w:rFonts w:ascii="Book Antiqua" w:hAnsi="Book Antiqua" w:cstheme="minorHAnsi"/>
                <w:i/>
                <w:iCs/>
                <w:color w:val="000000" w:themeColor="text1"/>
                <w:sz w:val="22"/>
                <w:szCs w:val="22"/>
              </w:rPr>
              <w:t xml:space="preserve"> „Iancu de Hunedoara”, deta</w:t>
            </w:r>
            <w:r w:rsidRPr="00BD498F">
              <w:rPr>
                <w:rFonts w:ascii="Cambria" w:hAnsi="Cambria" w:cs="Cambria"/>
                <w:i/>
                <w:iCs/>
                <w:color w:val="000000" w:themeColor="text1"/>
                <w:sz w:val="22"/>
                <w:szCs w:val="22"/>
              </w:rPr>
              <w:t>ș</w:t>
            </w:r>
            <w:r w:rsidRPr="00BD498F">
              <w:rPr>
                <w:rFonts w:ascii="Book Antiqua" w:hAnsi="Book Antiqua" w:cstheme="minorHAnsi"/>
                <w:i/>
                <w:iCs/>
                <w:color w:val="000000" w:themeColor="text1"/>
                <w:sz w:val="22"/>
                <w:szCs w:val="22"/>
              </w:rPr>
              <w:t>amentul Oră</w:t>
            </w:r>
            <w:r w:rsidRPr="00BD498F">
              <w:rPr>
                <w:rFonts w:ascii="Cambria" w:hAnsi="Cambria" w:cs="Cambria"/>
                <w:i/>
                <w:iCs/>
                <w:color w:val="000000" w:themeColor="text1"/>
                <w:sz w:val="22"/>
                <w:szCs w:val="22"/>
              </w:rPr>
              <w:t>ș</w:t>
            </w:r>
            <w:r w:rsidRPr="00BD498F">
              <w:rPr>
                <w:rFonts w:ascii="Book Antiqua" w:hAnsi="Book Antiqua" w:cstheme="minorHAnsi"/>
                <w:i/>
                <w:iCs/>
                <w:color w:val="000000" w:themeColor="text1"/>
                <w:sz w:val="22"/>
                <w:szCs w:val="22"/>
              </w:rPr>
              <w:t>tie</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13C1967E" w:rsidR="00BD498F" w:rsidRPr="000049F8" w:rsidRDefault="00BD498F" w:rsidP="00BD498F">
            <w:pPr>
              <w:ind w:right="198"/>
              <w:rPr>
                <w:rFonts w:ascii="Book Antiqua" w:hAnsi="Book Antiqua" w:cstheme="minorHAnsi"/>
                <w:b/>
                <w:i/>
                <w:iCs/>
                <w:color w:val="000000" w:themeColor="text1"/>
                <w:sz w:val="22"/>
                <w:szCs w:val="22"/>
              </w:rPr>
            </w:pPr>
            <w:r w:rsidRPr="00627CE1">
              <w:rPr>
                <w:rFonts w:ascii="Book Antiqua" w:hAnsi="Book Antiqua" w:cstheme="minorHAnsi"/>
                <w:b/>
                <w:i/>
                <w:iCs/>
                <w:color w:val="000000" w:themeColor="text1"/>
                <w:sz w:val="22"/>
                <w:szCs w:val="22"/>
              </w:rPr>
              <w:t>6 iunie</w:t>
            </w:r>
          </w:p>
        </w:tc>
      </w:tr>
      <w:tr w:rsidR="00BD498F" w:rsidRPr="00621B33" w14:paraId="6B4FDBB5"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778149E6" w:rsidR="00BD498F" w:rsidRPr="0041223A" w:rsidRDefault="00BD498F" w:rsidP="00BD498F">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Întâlnire de lucru  cu primarul comunei Blăjeni</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40F50DC7" w:rsidR="00BD498F" w:rsidRPr="000049F8" w:rsidRDefault="00BD498F" w:rsidP="00BD498F">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0049F8"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4BCE326D" w:rsidR="000049F8" w:rsidRPr="00304F33"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Întâlnire de lucru cu reprezentan</w:t>
            </w:r>
            <w:r w:rsidRPr="00C73F3E">
              <w:rPr>
                <w:rFonts w:ascii="Cambria" w:hAnsi="Cambria" w:cs="Cambria"/>
                <w:i/>
                <w:iCs/>
                <w:color w:val="000000" w:themeColor="text1"/>
                <w:sz w:val="22"/>
                <w:szCs w:val="22"/>
              </w:rPr>
              <w:t>ț</w:t>
            </w:r>
            <w:r w:rsidRPr="00C73F3E">
              <w:rPr>
                <w:rFonts w:ascii="Book Antiqua" w:hAnsi="Book Antiqua" w:cstheme="minorHAnsi"/>
                <w:i/>
                <w:iCs/>
                <w:color w:val="000000" w:themeColor="text1"/>
                <w:sz w:val="22"/>
                <w:szCs w:val="22"/>
              </w:rPr>
              <w:t>ii  romilor PHRALIPE dl. Rosta</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 xml:space="preserve"> Codru </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i R</w:t>
            </w:r>
            <w:r w:rsidRPr="00C73F3E">
              <w:rPr>
                <w:rFonts w:ascii="Book Antiqua" w:hAnsi="Book Antiqua" w:cs="Book Antiqua"/>
                <w:i/>
                <w:iCs/>
                <w:color w:val="000000" w:themeColor="text1"/>
                <w:sz w:val="22"/>
                <w:szCs w:val="22"/>
              </w:rPr>
              <w:t>ă</w:t>
            </w:r>
            <w:r w:rsidRPr="00C73F3E">
              <w:rPr>
                <w:rFonts w:ascii="Book Antiqua" w:hAnsi="Book Antiqua" w:cstheme="minorHAnsi"/>
                <w:i/>
                <w:iCs/>
                <w:color w:val="000000" w:themeColor="text1"/>
                <w:sz w:val="22"/>
                <w:szCs w:val="22"/>
              </w:rPr>
              <w:t>cean Petru</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08C3E8FD" w:rsidR="000049F8" w:rsidRPr="000049F8" w:rsidRDefault="000049F8"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0049F8"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20956D8D" w:rsidR="000049F8" w:rsidRPr="005C00F7"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Înregistrare emisiune la UNU TV</w:t>
            </w:r>
            <w:r w:rsidR="00863DB2">
              <w:rPr>
                <w:rFonts w:ascii="Book Antiqua" w:hAnsi="Book Antiqua" w:cstheme="minorHAnsi"/>
                <w:i/>
                <w:iCs/>
                <w:color w:val="000000" w:themeColor="text1"/>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1D8F4580" w:rsidR="000049F8" w:rsidRPr="000049F8" w:rsidRDefault="000049F8"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0049F8"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1D9DB439" w:rsidR="000049F8" w:rsidRPr="00BB3FA9"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Întâlnire de lucru cu tema -Învă</w:t>
            </w:r>
            <w:r w:rsidRPr="00C73F3E">
              <w:rPr>
                <w:rFonts w:ascii="Cambria" w:hAnsi="Cambria" w:cs="Cambria"/>
                <w:i/>
                <w:iCs/>
                <w:color w:val="000000" w:themeColor="text1"/>
                <w:sz w:val="22"/>
                <w:szCs w:val="22"/>
              </w:rPr>
              <w:t>ț</w:t>
            </w:r>
            <w:r w:rsidRPr="00C73F3E">
              <w:rPr>
                <w:rFonts w:ascii="Book Antiqua" w:hAnsi="Book Antiqua" w:cs="Book Antiqua"/>
                <w:i/>
                <w:iCs/>
                <w:color w:val="000000" w:themeColor="text1"/>
                <w:sz w:val="22"/>
                <w:szCs w:val="22"/>
              </w:rPr>
              <w:t>î</w:t>
            </w:r>
            <w:r w:rsidRPr="00C73F3E">
              <w:rPr>
                <w:rFonts w:ascii="Book Antiqua" w:hAnsi="Book Antiqua" w:cstheme="minorHAnsi"/>
                <w:i/>
                <w:iCs/>
                <w:color w:val="000000" w:themeColor="text1"/>
                <w:sz w:val="22"/>
                <w:szCs w:val="22"/>
              </w:rPr>
              <w:t>m</w:t>
            </w:r>
            <w:r w:rsidRPr="00C73F3E">
              <w:rPr>
                <w:rFonts w:ascii="Book Antiqua" w:hAnsi="Book Antiqua" w:cs="Book Antiqua"/>
                <w:i/>
                <w:iCs/>
                <w:color w:val="000000" w:themeColor="text1"/>
                <w:sz w:val="22"/>
                <w:szCs w:val="22"/>
              </w:rPr>
              <w:t>â</w:t>
            </w:r>
            <w:r w:rsidRPr="00C73F3E">
              <w:rPr>
                <w:rFonts w:ascii="Book Antiqua" w:hAnsi="Book Antiqua" w:cstheme="minorHAnsi"/>
                <w:i/>
                <w:iCs/>
                <w:color w:val="000000" w:themeColor="text1"/>
                <w:sz w:val="22"/>
                <w:szCs w:val="22"/>
              </w:rPr>
              <w:t>ntul dual, Fii meseria</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 xml:space="preserve">- cu inspector </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 xml:space="preserve">colar d-na Cioara Dana </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i dl. Director al Colegiului Tehnic Dragomir Hurmuzescu Deva</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281F6C8C" w:rsidR="000049F8" w:rsidRPr="000049F8" w:rsidRDefault="000049F8"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0049F8"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5F258001" w:rsidR="000049F8" w:rsidRPr="00BB3FA9"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Întâlnire de lucru cu primarul comunei Bal</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a</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3DD6B3D0" w:rsidR="000049F8" w:rsidRPr="000049F8" w:rsidRDefault="000049F8"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0049F8" w:rsidRPr="00621B33" w14:paraId="1B2775BF"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5A0EC16" w14:textId="36F77584" w:rsidR="000049F8" w:rsidRPr="00BB3FA9"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Întâlnire de lucru cu d-na director de la AJPIS</w:t>
            </w:r>
          </w:p>
        </w:tc>
        <w:tc>
          <w:tcPr>
            <w:tcW w:w="696" w:type="pct"/>
            <w:tcBorders>
              <w:top w:val="dotted" w:sz="4" w:space="0" w:color="A6A6A6"/>
              <w:left w:val="double" w:sz="4" w:space="0" w:color="006600"/>
              <w:bottom w:val="dotted" w:sz="4" w:space="0" w:color="A6A6A6"/>
              <w:right w:val="nil"/>
            </w:tcBorders>
            <w:shd w:val="clear" w:color="auto" w:fill="auto"/>
          </w:tcPr>
          <w:p w14:paraId="098DACB6" w14:textId="1C2D8426" w:rsidR="000049F8" w:rsidRPr="000049F8" w:rsidRDefault="000049F8"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7</w:t>
            </w:r>
            <w:r w:rsidRPr="00627CE1">
              <w:rPr>
                <w:rFonts w:ascii="Book Antiqua" w:hAnsi="Book Antiqua" w:cstheme="minorHAnsi"/>
                <w:b/>
                <w:i/>
                <w:iCs/>
                <w:color w:val="000000" w:themeColor="text1"/>
                <w:sz w:val="22"/>
                <w:szCs w:val="22"/>
              </w:rPr>
              <w:t xml:space="preserve"> iunie</w:t>
            </w:r>
          </w:p>
        </w:tc>
      </w:tr>
      <w:tr w:rsidR="005B3B49" w:rsidRPr="00621B33" w14:paraId="115BF88A"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4B1E7F9" w14:textId="3DDB269E" w:rsidR="005B3B49" w:rsidRPr="00BB3FA9" w:rsidRDefault="000049F8" w:rsidP="00E8313E">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 xml:space="preserve">Participare la </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edin</w:t>
            </w:r>
            <w:r w:rsidRPr="00C73F3E">
              <w:rPr>
                <w:rFonts w:ascii="Cambria" w:hAnsi="Cambria" w:cs="Cambria"/>
                <w:i/>
                <w:iCs/>
                <w:color w:val="000000" w:themeColor="text1"/>
                <w:sz w:val="22"/>
                <w:szCs w:val="22"/>
              </w:rPr>
              <w:t>ț</w:t>
            </w:r>
            <w:r w:rsidRPr="00C73F3E">
              <w:rPr>
                <w:rFonts w:ascii="Book Antiqua" w:hAnsi="Book Antiqua" w:cstheme="minorHAnsi"/>
                <w:i/>
                <w:iCs/>
                <w:color w:val="000000" w:themeColor="text1"/>
                <w:sz w:val="22"/>
                <w:szCs w:val="22"/>
              </w:rPr>
              <w:t>a Comisiei de Dialog Social</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12396516" w:rsidR="005B3B49" w:rsidRPr="000049F8" w:rsidRDefault="000049F8" w:rsidP="005B3B49">
            <w:pPr>
              <w:ind w:right="198"/>
              <w:rPr>
                <w:rFonts w:ascii="Book Antiqua" w:hAnsi="Book Antiqua" w:cstheme="minorHAnsi"/>
                <w:b/>
                <w:i/>
                <w:iCs/>
                <w:color w:val="000000" w:themeColor="text1"/>
                <w:sz w:val="22"/>
                <w:szCs w:val="22"/>
              </w:rPr>
            </w:pPr>
            <w:r w:rsidRPr="000049F8">
              <w:rPr>
                <w:rFonts w:ascii="Book Antiqua" w:hAnsi="Book Antiqua" w:cstheme="minorHAnsi"/>
                <w:b/>
                <w:i/>
                <w:iCs/>
                <w:color w:val="000000" w:themeColor="text1"/>
                <w:sz w:val="22"/>
                <w:szCs w:val="22"/>
              </w:rPr>
              <w:t>8 iunie</w:t>
            </w:r>
          </w:p>
        </w:tc>
      </w:tr>
      <w:tr w:rsidR="000049F8" w:rsidRPr="00621B33" w14:paraId="4C88263A"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629E6241" w14:textId="6D22959F" w:rsidR="000049F8" w:rsidRPr="000049F8"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Participare la ac</w:t>
            </w:r>
            <w:r w:rsidRPr="00C73F3E">
              <w:rPr>
                <w:rFonts w:ascii="Cambria" w:hAnsi="Cambria" w:cs="Cambria"/>
                <w:i/>
                <w:iCs/>
                <w:color w:val="000000" w:themeColor="text1"/>
                <w:sz w:val="22"/>
                <w:szCs w:val="22"/>
              </w:rPr>
              <w:t>ț</w:t>
            </w:r>
            <w:r w:rsidRPr="00C73F3E">
              <w:rPr>
                <w:rFonts w:ascii="Book Antiqua" w:hAnsi="Book Antiqua" w:cstheme="minorHAnsi"/>
                <w:i/>
                <w:iCs/>
                <w:color w:val="000000" w:themeColor="text1"/>
                <w:sz w:val="22"/>
                <w:szCs w:val="22"/>
              </w:rPr>
              <w:t>iunea organizat</w:t>
            </w:r>
            <w:r w:rsidRPr="00C73F3E">
              <w:rPr>
                <w:rFonts w:ascii="Book Antiqua" w:hAnsi="Book Antiqua" w:cs="Book Antiqua"/>
                <w:i/>
                <w:iCs/>
                <w:color w:val="000000" w:themeColor="text1"/>
                <w:sz w:val="22"/>
                <w:szCs w:val="22"/>
              </w:rPr>
              <w:t>ă</w:t>
            </w:r>
            <w:r w:rsidRPr="00C73F3E">
              <w:rPr>
                <w:rFonts w:ascii="Book Antiqua" w:hAnsi="Book Antiqua" w:cstheme="minorHAnsi"/>
                <w:i/>
                <w:iCs/>
                <w:color w:val="000000" w:themeColor="text1"/>
                <w:sz w:val="22"/>
                <w:szCs w:val="22"/>
              </w:rPr>
              <w:t xml:space="preserve"> de Colegiul Na</w:t>
            </w:r>
            <w:r w:rsidRPr="00C73F3E">
              <w:rPr>
                <w:rFonts w:ascii="Cambria" w:hAnsi="Cambria" w:cs="Cambria"/>
                <w:i/>
                <w:iCs/>
                <w:color w:val="000000" w:themeColor="text1"/>
                <w:sz w:val="22"/>
                <w:szCs w:val="22"/>
              </w:rPr>
              <w:t>ț</w:t>
            </w:r>
            <w:r w:rsidRPr="00C73F3E">
              <w:rPr>
                <w:rFonts w:ascii="Book Antiqua" w:hAnsi="Book Antiqua" w:cstheme="minorHAnsi"/>
                <w:i/>
                <w:iCs/>
                <w:color w:val="000000" w:themeColor="text1"/>
                <w:sz w:val="22"/>
                <w:szCs w:val="22"/>
              </w:rPr>
              <w:t>ional Regina Maria Deva- Biblioteca Stradală</w:t>
            </w:r>
          </w:p>
        </w:tc>
        <w:tc>
          <w:tcPr>
            <w:tcW w:w="696" w:type="pct"/>
            <w:tcBorders>
              <w:top w:val="dotted" w:sz="4" w:space="0" w:color="A6A6A6"/>
              <w:left w:val="double" w:sz="4" w:space="0" w:color="006600"/>
              <w:bottom w:val="dotted" w:sz="4" w:space="0" w:color="A6A6A6"/>
              <w:right w:val="nil"/>
            </w:tcBorders>
            <w:shd w:val="clear" w:color="auto" w:fill="auto"/>
          </w:tcPr>
          <w:p w14:paraId="712C5364" w14:textId="74C0A56E" w:rsidR="000049F8" w:rsidRPr="000049F8" w:rsidRDefault="000049F8" w:rsidP="000049F8">
            <w:pPr>
              <w:ind w:right="198"/>
              <w:rPr>
                <w:rFonts w:ascii="Book Antiqua" w:hAnsi="Book Antiqua" w:cstheme="minorHAnsi"/>
                <w:b/>
                <w:i/>
                <w:iCs/>
                <w:color w:val="000000" w:themeColor="text1"/>
                <w:sz w:val="22"/>
                <w:szCs w:val="22"/>
              </w:rPr>
            </w:pPr>
            <w:r w:rsidRPr="000049F8">
              <w:rPr>
                <w:rFonts w:ascii="Book Antiqua" w:hAnsi="Book Antiqua" w:cstheme="minorHAnsi"/>
                <w:b/>
                <w:i/>
                <w:iCs/>
                <w:color w:val="000000" w:themeColor="text1"/>
                <w:sz w:val="22"/>
                <w:szCs w:val="22"/>
              </w:rPr>
              <w:t>8 iunie</w:t>
            </w:r>
          </w:p>
        </w:tc>
      </w:tr>
      <w:tr w:rsidR="000049F8" w:rsidRPr="00621B33" w14:paraId="14EEF9EA"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3EB1DE72" w14:textId="7702190C" w:rsidR="000049F8" w:rsidRPr="000049F8"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 xml:space="preserve">Participare la festivitatea de final de an la Facultatea de asistente medicale organizat la Inspectoratul </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colar Jude</w:t>
            </w:r>
            <w:r w:rsidRPr="00C73F3E">
              <w:rPr>
                <w:rFonts w:ascii="Cambria" w:hAnsi="Cambria" w:cs="Cambria"/>
                <w:i/>
                <w:iCs/>
                <w:color w:val="000000" w:themeColor="text1"/>
                <w:sz w:val="22"/>
                <w:szCs w:val="22"/>
              </w:rPr>
              <w:t>ț</w:t>
            </w:r>
            <w:r w:rsidRPr="00C73F3E">
              <w:rPr>
                <w:rFonts w:ascii="Book Antiqua" w:hAnsi="Book Antiqua" w:cstheme="minorHAnsi"/>
                <w:i/>
                <w:iCs/>
                <w:color w:val="000000" w:themeColor="text1"/>
                <w:sz w:val="22"/>
                <w:szCs w:val="22"/>
              </w:rPr>
              <w:t>ean Hunedoara</w:t>
            </w:r>
          </w:p>
        </w:tc>
        <w:tc>
          <w:tcPr>
            <w:tcW w:w="696" w:type="pct"/>
            <w:tcBorders>
              <w:top w:val="dotted" w:sz="4" w:space="0" w:color="A6A6A6"/>
              <w:left w:val="double" w:sz="4" w:space="0" w:color="006600"/>
              <w:bottom w:val="dotted" w:sz="4" w:space="0" w:color="A6A6A6"/>
              <w:right w:val="nil"/>
            </w:tcBorders>
            <w:shd w:val="clear" w:color="auto" w:fill="auto"/>
          </w:tcPr>
          <w:p w14:paraId="48AFA237" w14:textId="1D975F87" w:rsidR="000049F8" w:rsidRPr="000049F8" w:rsidRDefault="000049F8" w:rsidP="000049F8">
            <w:pPr>
              <w:ind w:right="198"/>
              <w:rPr>
                <w:rFonts w:ascii="Book Antiqua" w:hAnsi="Book Antiqua" w:cstheme="minorHAnsi"/>
                <w:b/>
                <w:i/>
                <w:iCs/>
                <w:color w:val="000000" w:themeColor="text1"/>
                <w:sz w:val="22"/>
                <w:szCs w:val="22"/>
              </w:rPr>
            </w:pPr>
            <w:r w:rsidRPr="000049F8">
              <w:rPr>
                <w:rFonts w:ascii="Book Antiqua" w:hAnsi="Book Antiqua" w:cstheme="minorHAnsi"/>
                <w:b/>
                <w:i/>
                <w:iCs/>
                <w:color w:val="000000" w:themeColor="text1"/>
                <w:sz w:val="22"/>
                <w:szCs w:val="22"/>
              </w:rPr>
              <w:t>8 iunie</w:t>
            </w:r>
          </w:p>
        </w:tc>
      </w:tr>
      <w:tr w:rsidR="000049F8" w:rsidRPr="00621B33" w14:paraId="72084663"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80BDA99" w14:textId="1A88AAA5" w:rsidR="000049F8" w:rsidRPr="000049F8" w:rsidRDefault="000049F8" w:rsidP="000049F8">
            <w:pPr>
              <w:spacing w:before="40"/>
              <w:ind w:right="198"/>
              <w:jc w:val="both"/>
              <w:rPr>
                <w:rFonts w:ascii="Book Antiqua" w:hAnsi="Book Antiqua" w:cstheme="minorHAnsi"/>
                <w:i/>
                <w:iCs/>
                <w:color w:val="000000" w:themeColor="text1"/>
                <w:sz w:val="22"/>
                <w:szCs w:val="22"/>
              </w:rPr>
            </w:pPr>
            <w:r w:rsidRPr="00C73F3E">
              <w:rPr>
                <w:rFonts w:ascii="Book Antiqua" w:hAnsi="Book Antiqua" w:cstheme="minorHAnsi"/>
                <w:i/>
                <w:iCs/>
                <w:color w:val="000000" w:themeColor="text1"/>
                <w:sz w:val="22"/>
                <w:szCs w:val="22"/>
              </w:rPr>
              <w:t>Participare la emisiune Mondo TV Petro</w:t>
            </w:r>
            <w:r w:rsidRPr="00C73F3E">
              <w:rPr>
                <w:rFonts w:ascii="Cambria" w:hAnsi="Cambria" w:cs="Cambria"/>
                <w:i/>
                <w:iCs/>
                <w:color w:val="000000" w:themeColor="text1"/>
                <w:sz w:val="22"/>
                <w:szCs w:val="22"/>
              </w:rPr>
              <w:t>ș</w:t>
            </w:r>
            <w:r w:rsidRPr="00C73F3E">
              <w:rPr>
                <w:rFonts w:ascii="Book Antiqua" w:hAnsi="Book Antiqua" w:cstheme="minorHAnsi"/>
                <w:i/>
                <w:iCs/>
                <w:color w:val="000000" w:themeColor="text1"/>
                <w:sz w:val="22"/>
                <w:szCs w:val="22"/>
              </w:rPr>
              <w:t>ani</w:t>
            </w:r>
          </w:p>
        </w:tc>
        <w:tc>
          <w:tcPr>
            <w:tcW w:w="696" w:type="pct"/>
            <w:tcBorders>
              <w:top w:val="dotted" w:sz="4" w:space="0" w:color="A6A6A6"/>
              <w:left w:val="double" w:sz="4" w:space="0" w:color="006600"/>
              <w:bottom w:val="dotted" w:sz="4" w:space="0" w:color="A6A6A6"/>
              <w:right w:val="nil"/>
            </w:tcBorders>
            <w:shd w:val="clear" w:color="auto" w:fill="auto"/>
          </w:tcPr>
          <w:p w14:paraId="79CE14FE" w14:textId="53388D8B" w:rsidR="000049F8" w:rsidRPr="000049F8" w:rsidRDefault="000049F8" w:rsidP="000049F8">
            <w:pPr>
              <w:ind w:right="198"/>
              <w:rPr>
                <w:rFonts w:ascii="Book Antiqua" w:hAnsi="Book Antiqua" w:cstheme="minorHAnsi"/>
                <w:b/>
                <w:i/>
                <w:iCs/>
                <w:color w:val="000000" w:themeColor="text1"/>
                <w:sz w:val="22"/>
                <w:szCs w:val="22"/>
              </w:rPr>
            </w:pPr>
            <w:r w:rsidRPr="000049F8">
              <w:rPr>
                <w:rFonts w:ascii="Book Antiqua" w:hAnsi="Book Antiqua" w:cstheme="minorHAnsi"/>
                <w:b/>
                <w:i/>
                <w:iCs/>
                <w:color w:val="000000" w:themeColor="text1"/>
                <w:sz w:val="22"/>
                <w:szCs w:val="22"/>
              </w:rPr>
              <w:t>8 iunie</w:t>
            </w:r>
          </w:p>
        </w:tc>
      </w:tr>
      <w:tr w:rsidR="000049F8" w:rsidRPr="00621B33" w14:paraId="0EC67825"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2D138709" w14:textId="105B6227" w:rsidR="000049F8" w:rsidRPr="00C73F3E" w:rsidRDefault="00560A1A" w:rsidP="000049F8">
            <w:pPr>
              <w:spacing w:before="40"/>
              <w:ind w:right="198"/>
              <w:jc w:val="both"/>
              <w:rPr>
                <w:rFonts w:ascii="Book Antiqua" w:hAnsi="Book Antiqua" w:cstheme="minorHAnsi"/>
                <w:i/>
                <w:iCs/>
                <w:color w:val="000000" w:themeColor="text1"/>
                <w:sz w:val="22"/>
                <w:szCs w:val="22"/>
              </w:rPr>
            </w:pPr>
            <w:r w:rsidRPr="00560A1A">
              <w:rPr>
                <w:rFonts w:ascii="Book Antiqua" w:hAnsi="Book Antiqua" w:cstheme="minorHAnsi"/>
                <w:i/>
                <w:iCs/>
                <w:color w:val="000000" w:themeColor="text1"/>
                <w:sz w:val="22"/>
                <w:szCs w:val="22"/>
              </w:rPr>
              <w:t>Participare la Palatul Administrativ din Alba Iulia, unde a avut loc prima reuniune a Comitetului de Masiv din Grupa de mun</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 Apuseni, organizat</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 de Agen</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ia Na</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ional</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 a Zonei Montane.</w:t>
            </w:r>
          </w:p>
        </w:tc>
        <w:tc>
          <w:tcPr>
            <w:tcW w:w="696" w:type="pct"/>
            <w:tcBorders>
              <w:top w:val="dotted" w:sz="4" w:space="0" w:color="A6A6A6"/>
              <w:left w:val="double" w:sz="4" w:space="0" w:color="006600"/>
              <w:bottom w:val="dotted" w:sz="4" w:space="0" w:color="A6A6A6"/>
              <w:right w:val="nil"/>
            </w:tcBorders>
            <w:shd w:val="clear" w:color="auto" w:fill="auto"/>
          </w:tcPr>
          <w:p w14:paraId="61302348" w14:textId="1CD13B27" w:rsidR="000049F8" w:rsidRPr="000049F8" w:rsidRDefault="00560A1A" w:rsidP="000049F8">
            <w:pPr>
              <w:ind w:right="198"/>
              <w:rPr>
                <w:rFonts w:ascii="Book Antiqua" w:hAnsi="Book Antiqua" w:cstheme="minorHAnsi"/>
                <w:b/>
                <w:i/>
                <w:iCs/>
                <w:color w:val="000000" w:themeColor="text1"/>
                <w:sz w:val="22"/>
                <w:szCs w:val="22"/>
              </w:rPr>
            </w:pPr>
            <w:r>
              <w:rPr>
                <w:rFonts w:ascii="Book Antiqua" w:hAnsi="Book Antiqua" w:cstheme="minorHAnsi"/>
                <w:b/>
                <w:i/>
                <w:iCs/>
                <w:color w:val="000000" w:themeColor="text1"/>
                <w:sz w:val="22"/>
                <w:szCs w:val="22"/>
              </w:rPr>
              <w:t>9 iunie</w:t>
            </w:r>
          </w:p>
        </w:tc>
      </w:tr>
      <w:tr w:rsidR="00560A1A" w:rsidRPr="00621B33" w14:paraId="2E13F578"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E47199C" w14:textId="0633A614" w:rsidR="00560A1A" w:rsidRPr="00C73F3E" w:rsidRDefault="00560A1A" w:rsidP="00560A1A">
            <w:pPr>
              <w:spacing w:before="40"/>
              <w:ind w:right="198"/>
              <w:jc w:val="both"/>
              <w:rPr>
                <w:rFonts w:ascii="Book Antiqua" w:hAnsi="Book Antiqua" w:cstheme="minorHAnsi"/>
                <w:i/>
                <w:iCs/>
                <w:color w:val="000000" w:themeColor="text1"/>
                <w:sz w:val="22"/>
                <w:szCs w:val="22"/>
              </w:rPr>
            </w:pPr>
            <w:r w:rsidRPr="00560A1A">
              <w:rPr>
                <w:rFonts w:ascii="Book Antiqua" w:hAnsi="Book Antiqua" w:cstheme="minorHAnsi"/>
                <w:i/>
                <w:iCs/>
                <w:color w:val="000000" w:themeColor="text1"/>
                <w:sz w:val="22"/>
                <w:szCs w:val="22"/>
              </w:rPr>
              <w:t>Întâlnire de lucru la Direc</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ia jude</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ean</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 de Statistic</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58AE3429" w14:textId="4EE1A30B" w:rsidR="00560A1A" w:rsidRDefault="00560A1A" w:rsidP="00560A1A">
            <w:pPr>
              <w:ind w:right="198"/>
              <w:rPr>
                <w:rFonts w:ascii="Times New Roman" w:hAnsi="Times New Roman"/>
                <w:b/>
                <w:bCs/>
                <w:i/>
                <w:iCs/>
                <w:spacing w:val="-4"/>
                <w:sz w:val="22"/>
                <w:szCs w:val="22"/>
              </w:rPr>
            </w:pPr>
            <w:r>
              <w:rPr>
                <w:rFonts w:ascii="Book Antiqua" w:hAnsi="Book Antiqua" w:cstheme="minorHAnsi"/>
                <w:b/>
                <w:i/>
                <w:iCs/>
                <w:color w:val="000000" w:themeColor="text1"/>
                <w:sz w:val="22"/>
                <w:szCs w:val="22"/>
              </w:rPr>
              <w:t>9 iunie</w:t>
            </w:r>
          </w:p>
        </w:tc>
      </w:tr>
      <w:tr w:rsidR="00560A1A" w:rsidRPr="00621B33" w14:paraId="4E46F387"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DEDB25" w14:textId="705565E5" w:rsidR="00560A1A" w:rsidRPr="00C73F3E" w:rsidRDefault="00560A1A" w:rsidP="00560A1A">
            <w:pPr>
              <w:spacing w:before="40"/>
              <w:ind w:right="198"/>
              <w:jc w:val="both"/>
              <w:rPr>
                <w:rFonts w:ascii="Book Antiqua" w:hAnsi="Book Antiqua" w:cstheme="minorHAnsi"/>
                <w:i/>
                <w:iCs/>
                <w:color w:val="000000" w:themeColor="text1"/>
                <w:sz w:val="22"/>
                <w:szCs w:val="22"/>
              </w:rPr>
            </w:pPr>
            <w:r w:rsidRPr="00560A1A">
              <w:rPr>
                <w:rFonts w:ascii="Book Antiqua" w:hAnsi="Book Antiqua" w:cstheme="minorHAnsi"/>
                <w:i/>
                <w:iCs/>
                <w:color w:val="000000" w:themeColor="text1"/>
                <w:sz w:val="22"/>
                <w:szCs w:val="22"/>
              </w:rPr>
              <w:t>Declara</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ii de presă ale prefectului jude</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ului Hunedoara, C</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lin Petru Marian </w:t>
            </w:r>
            <w:r w:rsidRPr="00560A1A">
              <w:rPr>
                <w:rFonts w:ascii="Cambria" w:hAnsi="Cambria" w:cs="Cambria"/>
                <w:i/>
                <w:iCs/>
                <w:color w:val="000000" w:themeColor="text1"/>
                <w:sz w:val="22"/>
                <w:szCs w:val="22"/>
              </w:rPr>
              <w:t>ș</w:t>
            </w:r>
            <w:r w:rsidRPr="00560A1A">
              <w:rPr>
                <w:rFonts w:ascii="Book Antiqua" w:hAnsi="Book Antiqua" w:cstheme="minorHAnsi"/>
                <w:i/>
                <w:iCs/>
                <w:color w:val="000000" w:themeColor="text1"/>
                <w:sz w:val="22"/>
                <w:szCs w:val="22"/>
              </w:rPr>
              <w:t>i ale reprezentan</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ilor institu</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iilor jude</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ene ale Ministerului Afacerilor Interne, privind m</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surile luate de poli</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i</w:t>
            </w:r>
            <w:r w:rsidRPr="00560A1A">
              <w:rPr>
                <w:rFonts w:ascii="Cambria" w:hAnsi="Cambria" w:cs="Cambria"/>
                <w:i/>
                <w:iCs/>
                <w:color w:val="000000" w:themeColor="text1"/>
                <w:sz w:val="22"/>
                <w:szCs w:val="22"/>
              </w:rPr>
              <w:t>ș</w:t>
            </w:r>
            <w:r w:rsidRPr="00560A1A">
              <w:rPr>
                <w:rFonts w:ascii="Book Antiqua" w:hAnsi="Book Antiqua" w:cstheme="minorHAnsi"/>
                <w:i/>
                <w:iCs/>
                <w:color w:val="000000" w:themeColor="text1"/>
                <w:sz w:val="22"/>
                <w:szCs w:val="22"/>
              </w:rPr>
              <w:t xml:space="preserve">ti, jandarmi </w:t>
            </w:r>
            <w:r w:rsidRPr="00560A1A">
              <w:rPr>
                <w:rFonts w:ascii="Cambria" w:hAnsi="Cambria" w:cs="Cambria"/>
                <w:i/>
                <w:iCs/>
                <w:color w:val="000000" w:themeColor="text1"/>
                <w:sz w:val="22"/>
                <w:szCs w:val="22"/>
              </w:rPr>
              <w:t>ș</w:t>
            </w:r>
            <w:r w:rsidRPr="00560A1A">
              <w:rPr>
                <w:rFonts w:ascii="Book Antiqua" w:hAnsi="Book Antiqua" w:cstheme="minorHAnsi"/>
                <w:i/>
                <w:iCs/>
                <w:color w:val="000000" w:themeColor="text1"/>
                <w:sz w:val="22"/>
                <w:szCs w:val="22"/>
              </w:rPr>
              <w:t xml:space="preserve">i pompieri pentru a asigura ordinea </w:t>
            </w:r>
            <w:r w:rsidRPr="00560A1A">
              <w:rPr>
                <w:rFonts w:ascii="Cambria" w:hAnsi="Cambria" w:cs="Cambria"/>
                <w:i/>
                <w:iCs/>
                <w:color w:val="000000" w:themeColor="text1"/>
                <w:sz w:val="22"/>
                <w:szCs w:val="22"/>
              </w:rPr>
              <w:t>ș</w:t>
            </w:r>
            <w:r w:rsidRPr="00560A1A">
              <w:rPr>
                <w:rFonts w:ascii="Book Antiqua" w:hAnsi="Book Antiqua" w:cstheme="minorHAnsi"/>
                <w:i/>
                <w:iCs/>
                <w:color w:val="000000" w:themeColor="text1"/>
                <w:sz w:val="22"/>
                <w:szCs w:val="22"/>
              </w:rPr>
              <w:t>i lini</w:t>
            </w:r>
            <w:r w:rsidRPr="00560A1A">
              <w:rPr>
                <w:rFonts w:ascii="Cambria" w:hAnsi="Cambria" w:cs="Cambria"/>
                <w:i/>
                <w:iCs/>
                <w:color w:val="000000" w:themeColor="text1"/>
                <w:sz w:val="22"/>
                <w:szCs w:val="22"/>
              </w:rPr>
              <w:t>ș</w:t>
            </w:r>
            <w:r w:rsidRPr="00560A1A">
              <w:rPr>
                <w:rFonts w:ascii="Book Antiqua" w:hAnsi="Book Antiqua" w:cstheme="minorHAnsi"/>
                <w:i/>
                <w:iCs/>
                <w:color w:val="000000" w:themeColor="text1"/>
                <w:sz w:val="22"/>
                <w:szCs w:val="22"/>
              </w:rPr>
              <w:t>tea public</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 </w:t>
            </w:r>
            <w:r w:rsidRPr="00560A1A">
              <w:rPr>
                <w:rFonts w:ascii="Book Antiqua" w:hAnsi="Book Antiqua" w:cs="Book Antiqua"/>
                <w:i/>
                <w:iCs/>
                <w:color w:val="000000" w:themeColor="text1"/>
                <w:sz w:val="22"/>
                <w:szCs w:val="22"/>
              </w:rPr>
              <w:t>î</w:t>
            </w:r>
            <w:r w:rsidRPr="00560A1A">
              <w:rPr>
                <w:rFonts w:ascii="Book Antiqua" w:hAnsi="Book Antiqua" w:cstheme="minorHAnsi"/>
                <w:i/>
                <w:iCs/>
                <w:color w:val="000000" w:themeColor="text1"/>
                <w:sz w:val="22"/>
                <w:szCs w:val="22"/>
              </w:rPr>
              <w:t>n perioada minivacan</w:t>
            </w:r>
            <w:r w:rsidRPr="00560A1A">
              <w:rPr>
                <w:rFonts w:ascii="Cambria" w:hAnsi="Cambria" w:cs="Cambria"/>
                <w:i/>
                <w:iCs/>
                <w:color w:val="000000" w:themeColor="text1"/>
                <w:sz w:val="22"/>
                <w:szCs w:val="22"/>
              </w:rPr>
              <w:t>ț</w:t>
            </w:r>
            <w:r w:rsidRPr="00560A1A">
              <w:rPr>
                <w:rFonts w:ascii="Book Antiqua" w:hAnsi="Book Antiqua" w:cstheme="minorHAnsi"/>
                <w:i/>
                <w:iCs/>
                <w:color w:val="000000" w:themeColor="text1"/>
                <w:sz w:val="22"/>
                <w:szCs w:val="22"/>
              </w:rPr>
              <w:t>ei prilejuit</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 xml:space="preserve"> de S</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rb</w:t>
            </w:r>
            <w:r w:rsidRPr="00560A1A">
              <w:rPr>
                <w:rFonts w:ascii="Book Antiqua" w:hAnsi="Book Antiqua" w:cs="Book Antiqua"/>
                <w:i/>
                <w:iCs/>
                <w:color w:val="000000" w:themeColor="text1"/>
                <w:sz w:val="22"/>
                <w:szCs w:val="22"/>
              </w:rPr>
              <w:t>ă</w:t>
            </w:r>
            <w:r w:rsidRPr="00560A1A">
              <w:rPr>
                <w:rFonts w:ascii="Book Antiqua" w:hAnsi="Book Antiqua" w:cstheme="minorHAnsi"/>
                <w:i/>
                <w:iCs/>
                <w:color w:val="000000" w:themeColor="text1"/>
                <w:sz w:val="22"/>
                <w:szCs w:val="22"/>
              </w:rPr>
              <w:t>toarea Rusaliilor.</w:t>
            </w:r>
          </w:p>
        </w:tc>
        <w:tc>
          <w:tcPr>
            <w:tcW w:w="696" w:type="pct"/>
            <w:tcBorders>
              <w:top w:val="dotted" w:sz="4" w:space="0" w:color="A6A6A6"/>
              <w:left w:val="double" w:sz="4" w:space="0" w:color="006600"/>
              <w:bottom w:val="dotted" w:sz="4" w:space="0" w:color="A6A6A6"/>
              <w:right w:val="nil"/>
            </w:tcBorders>
            <w:shd w:val="clear" w:color="auto" w:fill="auto"/>
          </w:tcPr>
          <w:p w14:paraId="758A1B51" w14:textId="5ED630A6" w:rsidR="00560A1A" w:rsidRPr="005B5338" w:rsidRDefault="00560A1A" w:rsidP="00560A1A">
            <w:pPr>
              <w:ind w:right="198"/>
              <w:rPr>
                <w:rFonts w:ascii="Book Antiqua" w:hAnsi="Book Antiqua" w:cstheme="minorHAnsi"/>
                <w:b/>
                <w:i/>
                <w:iCs/>
                <w:color w:val="000000" w:themeColor="text1"/>
                <w:sz w:val="22"/>
                <w:szCs w:val="22"/>
              </w:rPr>
            </w:pPr>
            <w:r w:rsidRPr="005B5338">
              <w:rPr>
                <w:rFonts w:ascii="Book Antiqua" w:hAnsi="Book Antiqua" w:cstheme="minorHAnsi"/>
                <w:b/>
                <w:i/>
                <w:iCs/>
                <w:color w:val="000000" w:themeColor="text1"/>
                <w:sz w:val="22"/>
                <w:szCs w:val="22"/>
              </w:rPr>
              <w:t xml:space="preserve">10 </w:t>
            </w:r>
            <w:r w:rsidR="005B5338" w:rsidRPr="005B5338">
              <w:rPr>
                <w:rFonts w:ascii="Book Antiqua" w:hAnsi="Book Antiqua" w:cstheme="minorHAnsi"/>
                <w:b/>
                <w:i/>
                <w:iCs/>
                <w:color w:val="000000" w:themeColor="text1"/>
                <w:sz w:val="22"/>
                <w:szCs w:val="22"/>
              </w:rPr>
              <w:t>iunie</w:t>
            </w:r>
          </w:p>
        </w:tc>
      </w:tr>
      <w:tr w:rsidR="005B5338" w:rsidRPr="00621B33" w14:paraId="2512E14F"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67AAED11" w14:textId="1732E613" w:rsidR="005B5338" w:rsidRPr="00C73F3E" w:rsidRDefault="005B5338" w:rsidP="005B5338">
            <w:pPr>
              <w:spacing w:before="40"/>
              <w:ind w:right="198"/>
              <w:jc w:val="both"/>
              <w:rPr>
                <w:rFonts w:ascii="Book Antiqua" w:hAnsi="Book Antiqua" w:cstheme="minorHAnsi"/>
                <w:i/>
                <w:iCs/>
                <w:color w:val="000000" w:themeColor="text1"/>
                <w:sz w:val="22"/>
                <w:szCs w:val="22"/>
              </w:rPr>
            </w:pPr>
            <w:r w:rsidRPr="00560A1A">
              <w:rPr>
                <w:rFonts w:ascii="Book Antiqua" w:hAnsi="Book Antiqua" w:cstheme="minorHAnsi"/>
                <w:i/>
                <w:iCs/>
                <w:color w:val="000000" w:themeColor="text1"/>
                <w:sz w:val="22"/>
                <w:szCs w:val="22"/>
              </w:rPr>
              <w:t>Înregistrare emisiune „REPLICA TA”, transmisă la postul de televiziune „INFO HD”.</w:t>
            </w:r>
          </w:p>
        </w:tc>
        <w:tc>
          <w:tcPr>
            <w:tcW w:w="696" w:type="pct"/>
            <w:tcBorders>
              <w:top w:val="dotted" w:sz="4" w:space="0" w:color="A6A6A6"/>
              <w:left w:val="double" w:sz="4" w:space="0" w:color="006600"/>
              <w:bottom w:val="dotted" w:sz="4" w:space="0" w:color="A6A6A6"/>
              <w:right w:val="nil"/>
            </w:tcBorders>
            <w:shd w:val="clear" w:color="auto" w:fill="auto"/>
          </w:tcPr>
          <w:p w14:paraId="235593C6" w14:textId="6E6C3D6E" w:rsidR="005B5338" w:rsidRPr="005B5338" w:rsidRDefault="005B5338" w:rsidP="005B5338">
            <w:pPr>
              <w:ind w:right="198"/>
              <w:rPr>
                <w:rFonts w:ascii="Book Antiqua" w:hAnsi="Book Antiqua" w:cstheme="minorHAnsi"/>
                <w:b/>
                <w:i/>
                <w:iCs/>
                <w:color w:val="000000" w:themeColor="text1"/>
                <w:sz w:val="22"/>
                <w:szCs w:val="22"/>
              </w:rPr>
            </w:pPr>
            <w:r w:rsidRPr="005B5338">
              <w:rPr>
                <w:rFonts w:ascii="Book Antiqua" w:hAnsi="Book Antiqua" w:cstheme="minorHAnsi"/>
                <w:b/>
                <w:i/>
                <w:iCs/>
                <w:color w:val="000000" w:themeColor="text1"/>
                <w:sz w:val="22"/>
                <w:szCs w:val="22"/>
              </w:rPr>
              <w:t>10 iunie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0E1BE889"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E6E999A"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0611222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0" w:name="_Hlk89673293"/>
      <w:r w:rsidR="00664A40">
        <w:rPr>
          <w:rFonts w:ascii="Book Antiqua" w:hAnsi="Book Antiqua"/>
          <w:spacing w:val="-6"/>
          <w:sz w:val="20"/>
        </w:rPr>
        <w:t>6</w:t>
      </w:r>
      <w:r w:rsidR="00513108" w:rsidRPr="00513108">
        <w:rPr>
          <w:rFonts w:ascii="Book Antiqua" w:hAnsi="Book Antiqua"/>
          <w:spacing w:val="-6"/>
          <w:sz w:val="20"/>
        </w:rPr>
        <w:t xml:space="preserve"> – </w:t>
      </w:r>
      <w:r w:rsidR="00664A40">
        <w:rPr>
          <w:rFonts w:ascii="Book Antiqua" w:hAnsi="Book Antiqua"/>
          <w:spacing w:val="-6"/>
          <w:sz w:val="20"/>
        </w:rPr>
        <w:t xml:space="preserve">10 </w:t>
      </w:r>
      <w:r w:rsidR="00513108" w:rsidRPr="00513108">
        <w:rPr>
          <w:rFonts w:ascii="Book Antiqua" w:hAnsi="Book Antiqua"/>
          <w:spacing w:val="-6"/>
          <w:sz w:val="20"/>
        </w:rPr>
        <w:t xml:space="preserve"> iunie</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156D9D62" w14:textId="4E00B0C0" w:rsidR="00475F23" w:rsidRPr="00945D77" w:rsidRDefault="00475F23" w:rsidP="0096524C">
      <w:pPr>
        <w:spacing w:before="60"/>
        <w:ind w:right="198"/>
        <w:jc w:val="both"/>
        <w:rPr>
          <w:rFonts w:cs="Arial"/>
          <w:b/>
          <w:bCs/>
          <w:smallCaps/>
          <w:color w:val="0000FF"/>
          <w:szCs w:val="18"/>
          <w:u w:val="single"/>
        </w:rPr>
      </w:pPr>
      <w:bookmarkStart w:id="71" w:name="_Hlk105075959"/>
      <w:r w:rsidRPr="00945D77">
        <w:rPr>
          <w:rFonts w:cs="Arial"/>
          <w:b/>
          <w:bCs/>
          <w:smallCaps/>
          <w:color w:val="0000FF"/>
          <w:szCs w:val="18"/>
          <w:u w:val="single"/>
        </w:rPr>
        <w:t xml:space="preserve">M. Of. nr. </w:t>
      </w:r>
      <w:r>
        <w:rPr>
          <w:rFonts w:cs="Arial"/>
          <w:b/>
          <w:bCs/>
          <w:smallCaps/>
          <w:color w:val="0000FF"/>
          <w:szCs w:val="18"/>
          <w:u w:val="single"/>
        </w:rPr>
        <w:t>5</w:t>
      </w:r>
      <w:r w:rsidR="00DC5447">
        <w:rPr>
          <w:rFonts w:cs="Arial"/>
          <w:b/>
          <w:bCs/>
          <w:smallCaps/>
          <w:color w:val="0000FF"/>
          <w:szCs w:val="18"/>
          <w:u w:val="single"/>
        </w:rPr>
        <w:t>53/7</w:t>
      </w:r>
      <w:r>
        <w:rPr>
          <w:rFonts w:cs="Arial"/>
          <w:b/>
          <w:bCs/>
          <w:smallCaps/>
          <w:color w:val="0000FF"/>
          <w:szCs w:val="18"/>
          <w:u w:val="single"/>
        </w:rPr>
        <w:t xml:space="preserve"> iunie</w:t>
      </w:r>
      <w:r w:rsidRPr="00945D77">
        <w:rPr>
          <w:rFonts w:cs="Arial"/>
          <w:b/>
          <w:bCs/>
          <w:smallCaps/>
          <w:color w:val="0000FF"/>
          <w:szCs w:val="18"/>
          <w:u w:val="single"/>
        </w:rPr>
        <w:t xml:space="preserve"> 2022</w:t>
      </w:r>
    </w:p>
    <w:p w14:paraId="26A3EF5C" w14:textId="36B16CF9" w:rsidR="00BC5896" w:rsidRPr="00DC5447" w:rsidRDefault="00DC5447" w:rsidP="0096524C">
      <w:pPr>
        <w:pStyle w:val="ListParagraph"/>
        <w:numPr>
          <w:ilvl w:val="0"/>
          <w:numId w:val="3"/>
        </w:numPr>
        <w:spacing w:before="60"/>
        <w:ind w:left="0" w:right="198"/>
        <w:jc w:val="both"/>
        <w:rPr>
          <w:rFonts w:ascii="Verdana" w:hAnsi="Verdana"/>
          <w:sz w:val="18"/>
          <w:szCs w:val="18"/>
          <w:lang w:val="en-US"/>
        </w:rPr>
      </w:pPr>
      <w:r>
        <w:rPr>
          <w:rFonts w:ascii="Verdana" w:hAnsi="Verdana"/>
          <w:b/>
          <w:sz w:val="18"/>
          <w:szCs w:val="18"/>
        </w:rPr>
        <w:t>733</w:t>
      </w:r>
      <w:r w:rsidR="00475F23" w:rsidRPr="00BC5896">
        <w:rPr>
          <w:rFonts w:ascii="Verdana" w:hAnsi="Verdana"/>
          <w:b/>
          <w:sz w:val="18"/>
          <w:szCs w:val="18"/>
        </w:rPr>
        <w:t xml:space="preserve"> </w:t>
      </w:r>
      <w:r w:rsidR="00475F23" w:rsidRPr="00945D77">
        <w:t xml:space="preserve">- </w:t>
      </w:r>
      <w:r w:rsidR="00475F23" w:rsidRPr="00BC5896">
        <w:rPr>
          <w:rFonts w:ascii="Verdana" w:hAnsi="Verdana" w:cs="Arial"/>
          <w:b/>
          <w:color w:val="153E7E"/>
          <w:sz w:val="18"/>
          <w:szCs w:val="18"/>
        </w:rPr>
        <w:t>Guvernul României</w:t>
      </w:r>
      <w:r w:rsidR="00475F23" w:rsidRPr="00945D77">
        <w:rPr>
          <w:rFonts w:ascii="Verdana" w:hAnsi="Verdana" w:cs="Arial"/>
          <w:b/>
          <w:color w:val="153E7E"/>
          <w:sz w:val="18"/>
          <w:szCs w:val="18"/>
        </w:rPr>
        <w:t xml:space="preserve"> </w:t>
      </w:r>
      <w:r w:rsidR="00475F23" w:rsidRPr="00945D77">
        <w:t>-</w:t>
      </w:r>
      <w:r w:rsidR="00475F23" w:rsidRPr="00945D77">
        <w:rPr>
          <w:rFonts w:ascii="Verdana" w:hAnsi="Verdana"/>
          <w:sz w:val="18"/>
          <w:szCs w:val="18"/>
        </w:rPr>
        <w:t xml:space="preserve"> </w:t>
      </w:r>
      <w:r w:rsidRPr="00DC5447">
        <w:rPr>
          <w:rFonts w:ascii="Verdana" w:hAnsi="Verdana"/>
          <w:sz w:val="18"/>
          <w:szCs w:val="18"/>
          <w:lang w:val="ro-RO"/>
        </w:rPr>
        <w:t>Hotărâre privind aprobarea Normelor metodologice pentru identificarea obiectivelor strategice de interes național, aflate în stadiul de proiectare</w:t>
      </w:r>
    </w:p>
    <w:p w14:paraId="5FB4AD0E" w14:textId="76DA59A1" w:rsidR="00DC5447" w:rsidRPr="00945D77" w:rsidRDefault="00DC5447"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555/7 iunie</w:t>
      </w:r>
      <w:r w:rsidRPr="00945D77">
        <w:rPr>
          <w:rFonts w:cs="Arial"/>
          <w:b/>
          <w:bCs/>
          <w:smallCaps/>
          <w:color w:val="0000FF"/>
          <w:szCs w:val="18"/>
          <w:u w:val="single"/>
        </w:rPr>
        <w:t xml:space="preserve"> 2022</w:t>
      </w:r>
    </w:p>
    <w:p w14:paraId="315FD0F2" w14:textId="11FBF721" w:rsidR="00DC5447" w:rsidRPr="000270B0" w:rsidRDefault="00DC5447" w:rsidP="0096524C">
      <w:pPr>
        <w:pStyle w:val="ListParagraph"/>
        <w:numPr>
          <w:ilvl w:val="0"/>
          <w:numId w:val="3"/>
        </w:numPr>
        <w:spacing w:before="60"/>
        <w:ind w:left="0" w:right="198"/>
        <w:jc w:val="both"/>
        <w:rPr>
          <w:rFonts w:ascii="Verdana" w:hAnsi="Verdana"/>
          <w:sz w:val="18"/>
          <w:szCs w:val="18"/>
          <w:lang w:val="en-US"/>
        </w:rPr>
      </w:pPr>
      <w:r>
        <w:rPr>
          <w:rFonts w:ascii="Verdana" w:hAnsi="Verdana"/>
          <w:b/>
          <w:sz w:val="18"/>
          <w:szCs w:val="18"/>
        </w:rPr>
        <w:t>739</w:t>
      </w:r>
      <w:r w:rsidRPr="00BC5896">
        <w:rPr>
          <w:rFonts w:ascii="Verdana" w:hAnsi="Verdana"/>
          <w:b/>
          <w:sz w:val="18"/>
          <w:szCs w:val="18"/>
        </w:rPr>
        <w:t xml:space="preserve"> </w:t>
      </w:r>
      <w:r w:rsidRPr="00945D77">
        <w:t xml:space="preserve">- </w:t>
      </w:r>
      <w:r w:rsidRPr="00BC5896">
        <w:rPr>
          <w:rFonts w:ascii="Verdana" w:hAnsi="Verdana" w:cs="Arial"/>
          <w:b/>
          <w:color w:val="153E7E"/>
          <w:sz w:val="18"/>
          <w:szCs w:val="18"/>
        </w:rPr>
        <w:t>Guvernul României</w:t>
      </w:r>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r w:rsidRPr="00DC5447">
        <w:rPr>
          <w:rFonts w:ascii="Verdana" w:hAnsi="Verdana"/>
          <w:sz w:val="18"/>
          <w:szCs w:val="18"/>
          <w:lang w:val="ro-RO"/>
        </w:rPr>
        <w:t>Hotărâre privind modificarea Hotărârii Guvernului nr. 181/2020 pentru aprobarea continuării finanțării din Fondul pentru mediu a lucrărilor de închidere a iazurilor de decantare din sectorul minier</w:t>
      </w:r>
    </w:p>
    <w:p w14:paraId="6C965537" w14:textId="3A81F44F" w:rsidR="003F4AB3" w:rsidRPr="00945D77" w:rsidRDefault="003F4AB3"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558/8 iunie</w:t>
      </w:r>
      <w:r w:rsidRPr="00945D77">
        <w:rPr>
          <w:rFonts w:cs="Arial"/>
          <w:b/>
          <w:bCs/>
          <w:smallCaps/>
          <w:color w:val="0000FF"/>
          <w:szCs w:val="18"/>
          <w:u w:val="single"/>
        </w:rPr>
        <w:t xml:space="preserve"> 2022</w:t>
      </w:r>
    </w:p>
    <w:p w14:paraId="5E500F26" w14:textId="3661098B" w:rsidR="003F4AB3" w:rsidRPr="000270B0" w:rsidRDefault="003F4AB3" w:rsidP="0096524C">
      <w:pPr>
        <w:pStyle w:val="ListParagraph"/>
        <w:numPr>
          <w:ilvl w:val="0"/>
          <w:numId w:val="3"/>
        </w:numPr>
        <w:spacing w:before="60"/>
        <w:ind w:left="0" w:right="198"/>
        <w:jc w:val="both"/>
        <w:rPr>
          <w:rFonts w:ascii="Verdana" w:hAnsi="Verdana"/>
          <w:sz w:val="18"/>
          <w:szCs w:val="18"/>
          <w:lang w:val="en-US"/>
        </w:rPr>
      </w:pPr>
      <w:r>
        <w:rPr>
          <w:rFonts w:ascii="Verdana" w:hAnsi="Verdana"/>
          <w:b/>
          <w:sz w:val="18"/>
          <w:szCs w:val="18"/>
        </w:rPr>
        <w:t>555</w:t>
      </w:r>
      <w:r w:rsidRPr="00BC5896">
        <w:rPr>
          <w:rFonts w:ascii="Verdana" w:hAnsi="Verdana"/>
          <w:b/>
          <w:sz w:val="18"/>
          <w:szCs w:val="18"/>
        </w:rPr>
        <w:t xml:space="preserve"> </w:t>
      </w:r>
      <w:r w:rsidRPr="00945D77">
        <w:t xml:space="preserve">- </w:t>
      </w:r>
      <w:r w:rsidR="00A148D5" w:rsidRPr="00A148D5">
        <w:rPr>
          <w:rFonts w:ascii="Verdana" w:hAnsi="Verdana" w:cs="Arial"/>
          <w:b/>
          <w:color w:val="153E7E"/>
          <w:sz w:val="18"/>
          <w:szCs w:val="18"/>
          <w:lang w:val="ro-RO"/>
        </w:rPr>
        <w:t>Ministerul Transporturilor și Infrastructurii</w:t>
      </w:r>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r w:rsidRPr="003F4AB3">
        <w:rPr>
          <w:rFonts w:ascii="Verdana" w:hAnsi="Verdana"/>
          <w:sz w:val="18"/>
          <w:szCs w:val="18"/>
          <w:lang w:val="ro-RO"/>
        </w:rPr>
        <w:t>Ordin privind aprobarea Metodologiei de punctare pentru realizarea și utilizarea parametrilor de performanță aprobați în vederea stabilirii obligațiilor de serviciu public și pentru aprobarea valorilor de referință ale indicatorilor de performanță, conform realizărilor din anul 2021</w:t>
      </w:r>
    </w:p>
    <w:p w14:paraId="536472CD" w14:textId="0CF621E3" w:rsidR="0045711F" w:rsidRPr="00945D77" w:rsidRDefault="0045711F"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561/8 iunie</w:t>
      </w:r>
      <w:r w:rsidRPr="00945D77">
        <w:rPr>
          <w:rFonts w:cs="Arial"/>
          <w:b/>
          <w:bCs/>
          <w:smallCaps/>
          <w:color w:val="0000FF"/>
          <w:szCs w:val="18"/>
          <w:u w:val="single"/>
        </w:rPr>
        <w:t xml:space="preserve"> 2022</w:t>
      </w:r>
    </w:p>
    <w:p w14:paraId="4F94FF88" w14:textId="1A8F4F43" w:rsidR="0045711F" w:rsidRPr="000270B0" w:rsidRDefault="0045711F" w:rsidP="0096524C">
      <w:pPr>
        <w:pStyle w:val="ListParagraph"/>
        <w:numPr>
          <w:ilvl w:val="0"/>
          <w:numId w:val="3"/>
        </w:numPr>
        <w:spacing w:before="60"/>
        <w:ind w:left="0" w:right="198"/>
        <w:jc w:val="both"/>
        <w:rPr>
          <w:rFonts w:ascii="Verdana" w:hAnsi="Verdana"/>
          <w:sz w:val="18"/>
          <w:szCs w:val="18"/>
          <w:lang w:val="en-US"/>
        </w:rPr>
      </w:pPr>
      <w:r>
        <w:rPr>
          <w:rFonts w:ascii="Verdana" w:hAnsi="Verdana"/>
          <w:b/>
          <w:sz w:val="18"/>
          <w:szCs w:val="18"/>
        </w:rPr>
        <w:t>748</w:t>
      </w:r>
      <w:r w:rsidRPr="00BC5896">
        <w:rPr>
          <w:rFonts w:ascii="Verdana" w:hAnsi="Verdana"/>
          <w:b/>
          <w:sz w:val="18"/>
          <w:szCs w:val="18"/>
        </w:rPr>
        <w:t xml:space="preserve"> </w:t>
      </w:r>
      <w:r w:rsidRPr="00945D77">
        <w:t xml:space="preserve">- </w:t>
      </w:r>
      <w:r w:rsidRPr="0045711F">
        <w:rPr>
          <w:rFonts w:ascii="Verdana" w:hAnsi="Verdana" w:cs="Arial"/>
          <w:b/>
          <w:color w:val="153E7E"/>
          <w:sz w:val="18"/>
          <w:szCs w:val="18"/>
          <w:lang w:val="ro-RO"/>
        </w:rPr>
        <w:t>Guvernul României</w:t>
      </w:r>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r w:rsidRPr="0045711F">
        <w:rPr>
          <w:rFonts w:ascii="Verdana" w:hAnsi="Verdana"/>
          <w:sz w:val="18"/>
          <w:szCs w:val="18"/>
          <w:lang w:val="ro-RO"/>
        </w:rPr>
        <w:t>Hotărâre privind modificarea Hotărârii Guvernului nr. 148/2022 pentru aprobarea Programului de susținere a producției de legume în spații protejate pentru anul 2022</w:t>
      </w:r>
    </w:p>
    <w:p w14:paraId="747A1E16" w14:textId="48E682F3" w:rsidR="00CD19B6" w:rsidRPr="00945D77" w:rsidRDefault="00CD19B6"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562/9 iunie</w:t>
      </w:r>
      <w:r w:rsidRPr="00945D77">
        <w:rPr>
          <w:rFonts w:cs="Arial"/>
          <w:b/>
          <w:bCs/>
          <w:smallCaps/>
          <w:color w:val="0000FF"/>
          <w:szCs w:val="18"/>
          <w:u w:val="single"/>
        </w:rPr>
        <w:t xml:space="preserve"> 2022</w:t>
      </w:r>
    </w:p>
    <w:p w14:paraId="7952EEC9" w14:textId="76F300BA" w:rsidR="00CD19B6" w:rsidRPr="00D26BAD" w:rsidRDefault="00CD19B6" w:rsidP="0096524C">
      <w:pPr>
        <w:pStyle w:val="ListParagraph"/>
        <w:numPr>
          <w:ilvl w:val="0"/>
          <w:numId w:val="3"/>
        </w:numPr>
        <w:spacing w:before="60"/>
        <w:ind w:left="0" w:right="198"/>
        <w:jc w:val="both"/>
        <w:rPr>
          <w:rFonts w:ascii="Verdana" w:hAnsi="Verdana"/>
          <w:spacing w:val="-6"/>
          <w:sz w:val="18"/>
          <w:szCs w:val="18"/>
          <w:lang w:val="ro-RO"/>
        </w:rPr>
      </w:pPr>
      <w:r w:rsidRPr="00D26BAD">
        <w:rPr>
          <w:rFonts w:ascii="Verdana" w:hAnsi="Verdana"/>
          <w:b/>
          <w:spacing w:val="-6"/>
          <w:sz w:val="18"/>
          <w:szCs w:val="18"/>
        </w:rPr>
        <w:t xml:space="preserve">720 </w:t>
      </w:r>
      <w:r w:rsidRPr="00D26BAD">
        <w:rPr>
          <w:spacing w:val="-6"/>
        </w:rPr>
        <w:t xml:space="preserve">- </w:t>
      </w:r>
      <w:r w:rsidRPr="00D26BAD">
        <w:rPr>
          <w:rFonts w:ascii="Verdana" w:hAnsi="Verdana" w:cs="Arial"/>
          <w:b/>
          <w:color w:val="153E7E"/>
          <w:spacing w:val="-6"/>
          <w:sz w:val="18"/>
          <w:szCs w:val="18"/>
          <w:lang w:val="ro-RO"/>
        </w:rPr>
        <w:t>Guvernul României</w:t>
      </w:r>
      <w:r w:rsidRPr="00D26BAD">
        <w:rPr>
          <w:rFonts w:ascii="Verdana" w:hAnsi="Verdana" w:cs="Arial"/>
          <w:b/>
          <w:color w:val="153E7E"/>
          <w:spacing w:val="-6"/>
          <w:sz w:val="18"/>
          <w:szCs w:val="18"/>
        </w:rPr>
        <w:t xml:space="preserve"> </w:t>
      </w:r>
      <w:r w:rsidRPr="00D26BAD">
        <w:rPr>
          <w:spacing w:val="-6"/>
        </w:rPr>
        <w:t>-</w:t>
      </w:r>
      <w:r w:rsidRPr="00D26BAD">
        <w:rPr>
          <w:rFonts w:ascii="Verdana" w:hAnsi="Verdana"/>
          <w:spacing w:val="-6"/>
          <w:sz w:val="18"/>
          <w:szCs w:val="18"/>
        </w:rPr>
        <w:t xml:space="preserve"> </w:t>
      </w:r>
      <w:r w:rsidRPr="00D26BAD">
        <w:rPr>
          <w:rFonts w:ascii="Verdana" w:hAnsi="Verdana"/>
          <w:spacing w:val="-6"/>
          <w:sz w:val="18"/>
          <w:szCs w:val="18"/>
          <w:lang w:val="ro-RO"/>
        </w:rPr>
        <w:t>Hotărâre privind aprobarea Contractului de finanțare dintre Guvernul României, reprezentat de Ministerul Investițiilor și Proiectelor Europene, și Banca Europeană de Investiții privind Fondul de Fonduri pentru digitalizare, acțiune climatică și alte domenii de interes, finanțat din cadrul Planului național de redresare și reziliență al României, semnat la București la 31 martie 2022</w:t>
      </w:r>
    </w:p>
    <w:p w14:paraId="279DF83C" w14:textId="722C0D81" w:rsidR="008F3AF1" w:rsidRPr="00945D77" w:rsidRDefault="008F3AF1"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563/9 iunie</w:t>
      </w:r>
      <w:r w:rsidRPr="00945D77">
        <w:rPr>
          <w:rFonts w:cs="Arial"/>
          <w:b/>
          <w:bCs/>
          <w:smallCaps/>
          <w:color w:val="0000FF"/>
          <w:szCs w:val="18"/>
          <w:u w:val="single"/>
        </w:rPr>
        <w:t xml:space="preserve"> 2022</w:t>
      </w:r>
    </w:p>
    <w:p w14:paraId="7248EA17" w14:textId="480A0982" w:rsidR="008F3AF1" w:rsidRPr="00CD19B6" w:rsidRDefault="008F3AF1" w:rsidP="0096524C">
      <w:pPr>
        <w:pStyle w:val="ListParagraph"/>
        <w:numPr>
          <w:ilvl w:val="0"/>
          <w:numId w:val="3"/>
        </w:numPr>
        <w:spacing w:before="60"/>
        <w:ind w:left="0" w:right="198"/>
        <w:jc w:val="both"/>
        <w:rPr>
          <w:rFonts w:ascii="Verdana" w:hAnsi="Verdana"/>
          <w:sz w:val="18"/>
          <w:szCs w:val="18"/>
          <w:lang w:val="ro-RO"/>
        </w:rPr>
      </w:pPr>
      <w:r>
        <w:rPr>
          <w:rFonts w:ascii="Verdana" w:hAnsi="Verdana"/>
          <w:b/>
          <w:sz w:val="18"/>
          <w:szCs w:val="18"/>
        </w:rPr>
        <w:t>86</w:t>
      </w:r>
      <w:r w:rsidRPr="00CD19B6">
        <w:rPr>
          <w:rFonts w:ascii="Verdana" w:hAnsi="Verdana"/>
          <w:b/>
          <w:sz w:val="18"/>
          <w:szCs w:val="18"/>
        </w:rPr>
        <w:t xml:space="preserve"> </w:t>
      </w:r>
      <w:r w:rsidRPr="00945D77">
        <w:t xml:space="preserve">- </w:t>
      </w:r>
      <w:r>
        <w:rPr>
          <w:rFonts w:ascii="Verdana" w:hAnsi="Verdana" w:cs="Arial"/>
          <w:b/>
          <w:color w:val="153E7E"/>
          <w:sz w:val="18"/>
          <w:szCs w:val="18"/>
          <w:lang w:val="ro-RO"/>
        </w:rPr>
        <w:t>Senatul</w:t>
      </w:r>
      <w:r w:rsidRPr="00CD19B6">
        <w:rPr>
          <w:rFonts w:ascii="Verdana" w:hAnsi="Verdana" w:cs="Arial"/>
          <w:b/>
          <w:color w:val="153E7E"/>
          <w:sz w:val="18"/>
          <w:szCs w:val="18"/>
          <w:lang w:val="ro-RO"/>
        </w:rPr>
        <w:t xml:space="preserve">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r w:rsidRPr="008F3AF1">
        <w:rPr>
          <w:rFonts w:ascii="Verdana" w:hAnsi="Verdana"/>
          <w:sz w:val="18"/>
          <w:szCs w:val="18"/>
          <w:lang w:val="ro-RO"/>
        </w:rPr>
        <w:t>Hotărâre pentru modificarea art. 8 din Hotărârea Senatului nr. 26/2022 privind investigarea cazurilor de abuzuri sexuale sau a oricăror abuzuri fizice împotriva minorilor din serviciile de tip rezidențial aflate în subordinea direcțiilor generale de asistență socială și protecție a copilului (DGASPC)</w:t>
      </w:r>
    </w:p>
    <w:p w14:paraId="6DEB914A" w14:textId="6326A3DF" w:rsidR="008F3AF1" w:rsidRPr="00945D77" w:rsidRDefault="008F3AF1"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564/9 iunie</w:t>
      </w:r>
      <w:r w:rsidRPr="00945D77">
        <w:rPr>
          <w:rFonts w:cs="Arial"/>
          <w:b/>
          <w:bCs/>
          <w:smallCaps/>
          <w:color w:val="0000FF"/>
          <w:szCs w:val="18"/>
          <w:u w:val="single"/>
        </w:rPr>
        <w:t xml:space="preserve"> 2022</w:t>
      </w:r>
    </w:p>
    <w:p w14:paraId="0131A473" w14:textId="350F203C" w:rsidR="008F3AF1" w:rsidRPr="00D26BAD" w:rsidRDefault="008F3AF1" w:rsidP="0096524C">
      <w:pPr>
        <w:pStyle w:val="ListParagraph"/>
        <w:numPr>
          <w:ilvl w:val="0"/>
          <w:numId w:val="3"/>
        </w:numPr>
        <w:spacing w:before="60"/>
        <w:ind w:left="0" w:right="198"/>
        <w:jc w:val="both"/>
        <w:rPr>
          <w:rFonts w:ascii="Verdana" w:hAnsi="Verdana"/>
          <w:spacing w:val="-6"/>
          <w:sz w:val="18"/>
          <w:szCs w:val="18"/>
          <w:lang w:val="ro-RO"/>
        </w:rPr>
      </w:pPr>
      <w:r w:rsidRPr="00D26BAD">
        <w:rPr>
          <w:rFonts w:ascii="Verdana" w:hAnsi="Verdana"/>
          <w:b/>
          <w:spacing w:val="-6"/>
          <w:sz w:val="18"/>
          <w:szCs w:val="18"/>
        </w:rPr>
        <w:t xml:space="preserve">148 </w:t>
      </w:r>
      <w:r w:rsidRPr="00D26BAD">
        <w:rPr>
          <w:spacing w:val="-6"/>
        </w:rPr>
        <w:t xml:space="preserve">- </w:t>
      </w:r>
      <w:r w:rsidR="00250A97" w:rsidRPr="00D26BAD">
        <w:rPr>
          <w:rFonts w:ascii="Verdana" w:hAnsi="Verdana" w:cs="Arial"/>
          <w:b/>
          <w:color w:val="153E7E"/>
          <w:spacing w:val="-6"/>
          <w:sz w:val="18"/>
          <w:szCs w:val="18"/>
          <w:lang w:val="ro-RO"/>
        </w:rPr>
        <w:t>Ministerul Agriculturii și Dezvoltării Rurale</w:t>
      </w:r>
      <w:r w:rsidRPr="00D26BAD">
        <w:rPr>
          <w:rFonts w:ascii="Verdana" w:hAnsi="Verdana" w:cs="Arial"/>
          <w:b/>
          <w:color w:val="153E7E"/>
          <w:spacing w:val="-6"/>
          <w:sz w:val="18"/>
          <w:szCs w:val="18"/>
        </w:rPr>
        <w:t xml:space="preserve"> </w:t>
      </w:r>
      <w:r w:rsidRPr="00D26BAD">
        <w:rPr>
          <w:spacing w:val="-6"/>
        </w:rPr>
        <w:t>-</w:t>
      </w:r>
      <w:r w:rsidRPr="00D26BAD">
        <w:rPr>
          <w:rFonts w:ascii="Verdana" w:hAnsi="Verdana"/>
          <w:spacing w:val="-6"/>
          <w:sz w:val="18"/>
          <w:szCs w:val="18"/>
        </w:rPr>
        <w:t xml:space="preserve"> </w:t>
      </w:r>
      <w:r w:rsidRPr="00D26BAD">
        <w:rPr>
          <w:rFonts w:ascii="Verdana" w:hAnsi="Verdana"/>
          <w:spacing w:val="-6"/>
          <w:sz w:val="18"/>
          <w:szCs w:val="18"/>
          <w:lang w:val="ro-RO"/>
        </w:rPr>
        <w:t>Ordin privind aprobarea schemei de ajutor de minimis „Sprijin pentru punerea în aplicare a strategiilor de dezvoltare locală plasate sub responsabilitatea comunității“, aferentă Programului operațional pentru pescuit și afaceri maritime 2014-2020</w:t>
      </w:r>
    </w:p>
    <w:p w14:paraId="4CA78B93" w14:textId="52A79709" w:rsidR="00250A97" w:rsidRPr="00945D77" w:rsidRDefault="00250A97"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566/9 iunie</w:t>
      </w:r>
      <w:r w:rsidRPr="00945D77">
        <w:rPr>
          <w:rFonts w:cs="Arial"/>
          <w:b/>
          <w:bCs/>
          <w:smallCaps/>
          <w:color w:val="0000FF"/>
          <w:szCs w:val="18"/>
          <w:u w:val="single"/>
        </w:rPr>
        <w:t xml:space="preserve"> 2022</w:t>
      </w:r>
    </w:p>
    <w:p w14:paraId="52A265EF" w14:textId="612EC7F6" w:rsidR="00250A97" w:rsidRPr="00CD19B6" w:rsidRDefault="00250A97" w:rsidP="0096524C">
      <w:pPr>
        <w:pStyle w:val="ListParagraph"/>
        <w:numPr>
          <w:ilvl w:val="0"/>
          <w:numId w:val="3"/>
        </w:numPr>
        <w:spacing w:before="60"/>
        <w:ind w:left="0" w:right="198"/>
        <w:jc w:val="both"/>
        <w:rPr>
          <w:rFonts w:ascii="Verdana" w:hAnsi="Verdana"/>
          <w:sz w:val="18"/>
          <w:szCs w:val="18"/>
          <w:lang w:val="ro-RO"/>
        </w:rPr>
      </w:pPr>
      <w:r>
        <w:rPr>
          <w:rFonts w:ascii="Verdana" w:hAnsi="Verdana"/>
          <w:b/>
          <w:sz w:val="18"/>
          <w:szCs w:val="18"/>
        </w:rPr>
        <w:t>78</w:t>
      </w:r>
      <w:r w:rsidRPr="00CD19B6">
        <w:rPr>
          <w:rFonts w:ascii="Verdana" w:hAnsi="Verdana"/>
          <w:b/>
          <w:sz w:val="18"/>
          <w:szCs w:val="18"/>
        </w:rPr>
        <w:t xml:space="preserve"> </w:t>
      </w:r>
      <w:r w:rsidRPr="00945D77">
        <w:t xml:space="preserve">- </w:t>
      </w:r>
      <w:r w:rsidRPr="00250A97">
        <w:rPr>
          <w:rFonts w:ascii="Verdana" w:hAnsi="Verdana" w:cs="Arial"/>
          <w:b/>
          <w:color w:val="153E7E"/>
          <w:sz w:val="18"/>
          <w:szCs w:val="18"/>
          <w:lang w:val="ro-RO"/>
        </w:rPr>
        <w:t>Guvernul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r w:rsidRPr="00250A97">
        <w:rPr>
          <w:rFonts w:ascii="Verdana" w:hAnsi="Verdana"/>
          <w:sz w:val="18"/>
          <w:szCs w:val="18"/>
          <w:lang w:val="ro-RO"/>
        </w:rPr>
        <w:t>Ordonanță de urgență privind unele măsuri pentru ocuparea posturilor aferente funcțiilor publice vacante și temporar vacante care au atribuții în implementarea Planului național de redresare și reziliență al României</w:t>
      </w:r>
    </w:p>
    <w:p w14:paraId="0BE11ECB" w14:textId="1A11865A" w:rsidR="00CD19B6" w:rsidRPr="000270B0" w:rsidRDefault="00250A97" w:rsidP="0096524C">
      <w:pPr>
        <w:pStyle w:val="ListParagraph"/>
        <w:numPr>
          <w:ilvl w:val="0"/>
          <w:numId w:val="3"/>
        </w:numPr>
        <w:spacing w:before="60"/>
        <w:ind w:left="0" w:right="198"/>
        <w:jc w:val="both"/>
        <w:rPr>
          <w:rFonts w:ascii="Verdana" w:hAnsi="Verdana"/>
          <w:sz w:val="18"/>
          <w:szCs w:val="18"/>
          <w:lang w:val="en-US"/>
        </w:rPr>
      </w:pPr>
      <w:r w:rsidRPr="00250A97">
        <w:rPr>
          <w:rFonts w:ascii="Verdana" w:hAnsi="Verdana"/>
          <w:b/>
          <w:sz w:val="18"/>
          <w:szCs w:val="18"/>
          <w:lang w:val="en-US"/>
        </w:rPr>
        <w:t>79</w:t>
      </w:r>
      <w:r>
        <w:rPr>
          <w:rFonts w:ascii="Verdana" w:hAnsi="Verdana"/>
          <w:sz w:val="18"/>
          <w:szCs w:val="18"/>
          <w:lang w:val="en-US"/>
        </w:rPr>
        <w:t xml:space="preserve"> </w:t>
      </w:r>
      <w:r w:rsidRPr="00945D77">
        <w:t xml:space="preserve">- </w:t>
      </w:r>
      <w:r w:rsidRPr="00250A97">
        <w:rPr>
          <w:rFonts w:ascii="Verdana" w:hAnsi="Verdana" w:cs="Arial"/>
          <w:b/>
          <w:color w:val="153E7E"/>
          <w:sz w:val="18"/>
          <w:szCs w:val="18"/>
          <w:lang w:val="ro-RO"/>
        </w:rPr>
        <w:t>Guvernul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r w:rsidRPr="00250A97">
        <w:rPr>
          <w:rFonts w:ascii="Verdana" w:hAnsi="Verdana"/>
          <w:sz w:val="18"/>
          <w:szCs w:val="18"/>
          <w:lang w:val="ro-RO"/>
        </w:rPr>
        <w:t>Ordonanță de urgență pentru completarea Ordonanței de urgență a Guvernului nr. 202/2008 privind punerea în aplicare a sancțiunilor internaționale</w:t>
      </w:r>
    </w:p>
    <w:p w14:paraId="23598E54" w14:textId="086C7BF5" w:rsidR="00306065" w:rsidRPr="00945D77" w:rsidRDefault="00306065" w:rsidP="0096524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567/10 iunie</w:t>
      </w:r>
      <w:r w:rsidRPr="00945D77">
        <w:rPr>
          <w:rFonts w:cs="Arial"/>
          <w:b/>
          <w:bCs/>
          <w:smallCaps/>
          <w:color w:val="0000FF"/>
          <w:szCs w:val="18"/>
          <w:u w:val="single"/>
        </w:rPr>
        <w:t xml:space="preserve"> 2022</w:t>
      </w:r>
    </w:p>
    <w:p w14:paraId="231B2815" w14:textId="3F2FE6D8" w:rsidR="00DC5447" w:rsidRPr="0096524C" w:rsidRDefault="00306065" w:rsidP="0096524C">
      <w:pPr>
        <w:pStyle w:val="ListParagraph"/>
        <w:numPr>
          <w:ilvl w:val="0"/>
          <w:numId w:val="3"/>
        </w:numPr>
        <w:spacing w:before="60"/>
        <w:ind w:left="0" w:right="198"/>
        <w:jc w:val="both"/>
        <w:rPr>
          <w:rFonts w:ascii="Verdana" w:hAnsi="Verdana"/>
          <w:sz w:val="18"/>
          <w:szCs w:val="18"/>
          <w:lang w:val="ro-RO"/>
        </w:rPr>
      </w:pPr>
      <w:r>
        <w:rPr>
          <w:rFonts w:ascii="Verdana" w:hAnsi="Verdana"/>
          <w:b/>
          <w:sz w:val="18"/>
          <w:szCs w:val="18"/>
        </w:rPr>
        <w:t>175</w:t>
      </w:r>
      <w:r w:rsidRPr="00CD19B6">
        <w:rPr>
          <w:rFonts w:ascii="Verdana" w:hAnsi="Verdana"/>
          <w:b/>
          <w:sz w:val="18"/>
          <w:szCs w:val="18"/>
        </w:rPr>
        <w:t xml:space="preserve"> </w:t>
      </w:r>
      <w:r w:rsidRPr="00945D77">
        <w:t xml:space="preserve">- </w:t>
      </w:r>
      <w:r w:rsidRPr="00306065">
        <w:rPr>
          <w:rFonts w:ascii="Verdana" w:hAnsi="Verdana" w:cs="Arial"/>
          <w:b/>
          <w:color w:val="153E7E"/>
          <w:sz w:val="18"/>
          <w:szCs w:val="18"/>
          <w:lang w:val="ro-RO"/>
        </w:rPr>
        <w:t>Parlamentul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r w:rsidRPr="00306065">
        <w:rPr>
          <w:rFonts w:ascii="Verdana" w:hAnsi="Verdana"/>
          <w:sz w:val="18"/>
          <w:szCs w:val="18"/>
          <w:lang w:val="ro-RO"/>
        </w:rPr>
        <w:t>Lege privind asigurarea accesului persoanelor fizice la servicii de internet în bandă largă, la punct fix</w:t>
      </w:r>
    </w:p>
    <w:bookmarkEnd w:id="71"/>
    <w:p w14:paraId="29F128EA" w14:textId="3318B75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644EFF5F" w:rsidR="00D91995" w:rsidRDefault="00D91995" w:rsidP="00D26BAD">
      <w:pPr>
        <w:pStyle w:val="separatorcapitole"/>
        <w:spacing w:before="120"/>
        <w:ind w:right="198"/>
      </w:pPr>
      <w:bookmarkStart w:id="119" w:name="_Hlk94011750"/>
      <w:r w:rsidRPr="00F50627">
        <w:sym w:font="Wingdings" w:char="F07B"/>
      </w:r>
      <w:r w:rsidRPr="00F50627">
        <w:sym w:font="Wingdings" w:char="F07B"/>
      </w:r>
      <w:r w:rsidRPr="00F50627">
        <w:sym w:font="Wingdings" w:char="F07B"/>
      </w:r>
    </w:p>
    <w:p w14:paraId="0C0CEE28" w14:textId="322A69AB" w:rsidR="00F56410" w:rsidRDefault="00F56410" w:rsidP="00B2000B">
      <w:pPr>
        <w:pStyle w:val="InfoEuropeana"/>
        <w:spacing w:before="0"/>
        <w:ind w:right="198"/>
      </w:pPr>
      <w:bookmarkStart w:id="120" w:name="_Toc106112226"/>
      <w:bookmarkEnd w:id="119"/>
      <w:r>
        <w:lastRenderedPageBreak/>
        <w:t>C</w:t>
      </w:r>
      <w:r w:rsidR="009E2EE4">
        <w:t>o</w:t>
      </w:r>
      <w:r>
        <w:t>municate de presă ale Guvernului României</w:t>
      </w:r>
      <w:bookmarkEnd w:id="120"/>
    </w:p>
    <w:p w14:paraId="72C04FA2" w14:textId="2CF03E9D" w:rsidR="00DD5DE8" w:rsidRPr="00DD5DE8" w:rsidRDefault="00DD5DE8" w:rsidP="00DD5DE8">
      <w:pPr>
        <w:pStyle w:val="TitluArticolinINFOUE"/>
        <w:rPr>
          <w:lang w:eastAsia="ro-RO"/>
        </w:rPr>
      </w:pPr>
      <w:bookmarkStart w:id="121" w:name="_Toc106112227"/>
      <w:r w:rsidRPr="00DD5DE8">
        <w:t>Participarea ministrului afacerilor interne, Lucian Bode, la secțiunea afaceri interne a Consiliului Justiție și Afaceri Interne, organizat de Președinția franceză a Consiliului Uniunii Europene</w:t>
      </w:r>
      <w:bookmarkEnd w:id="121"/>
    </w:p>
    <w:p w14:paraId="00448D27" w14:textId="179ECF6D" w:rsidR="00DD5DE8" w:rsidRPr="00DD5DE8" w:rsidRDefault="0079345C" w:rsidP="00DD5DE8">
      <w:pPr>
        <w:pStyle w:val="NormalWeb"/>
        <w:spacing w:before="120" w:beforeAutospacing="0" w:after="0" w:afterAutospacing="0"/>
        <w:jc w:val="both"/>
        <w:textAlignment w:val="baseline"/>
        <w:rPr>
          <w:rFonts w:ascii="Verdana" w:hAnsi="Verdana"/>
          <w:sz w:val="18"/>
          <w:szCs w:val="18"/>
        </w:rPr>
      </w:pPr>
      <w:r w:rsidRPr="0086237F">
        <w:rPr>
          <w:noProof/>
          <w:lang w:eastAsia="ro-RO"/>
        </w:rPr>
        <w:drawing>
          <wp:anchor distT="0" distB="0" distL="114300" distR="114300" simplePos="0" relativeHeight="252110848" behindDoc="0" locked="0" layoutInCell="1" allowOverlap="1" wp14:anchorId="4462258F" wp14:editId="2791B71E">
            <wp:simplePos x="0" y="0"/>
            <wp:positionH relativeFrom="column">
              <wp:posOffset>13335</wp:posOffset>
            </wp:positionH>
            <wp:positionV relativeFrom="paragraph">
              <wp:posOffset>83820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DE8" w:rsidRPr="00DD5DE8">
        <w:rPr>
          <w:rFonts w:ascii="Verdana" w:hAnsi="Verdana"/>
          <w:sz w:val="18"/>
          <w:szCs w:val="18"/>
        </w:rPr>
        <w:t>În data de 10.06.2022 a avut loc la Luxemburg secțiunea afaceri interne a Consiliului Justiție și Afaceri Interne, organizat de Președinția franceză a Consiliului Uniunii Europene. România a fost reprezentată la reuniune de către ministrul afacerilor interne, domnul Lucian BODE.</w:t>
      </w:r>
    </w:p>
    <w:p w14:paraId="60E7AE63" w14:textId="1D71E454"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Pe agendă au figurat subiecte precum starea generală a Spațiului Schengen, modificarea Regulamentului privind Codul Frontierelor Schengen, directiva privind schimbul de informații între autoritățile de aplicare a legii ale statelor membre, azilul și migrația, consolidarea cooperării dintre autoritățile responsabile cu lupta împotriva terorismului, Regulamentul Prüm II, respectiv situația din Ucraina și monitorizarea implementării Planului în 10 puncte. În cadrul prânzului de lucru care a avut loc cu ocazia reuniunii miniștrii au abordat o serie de aspecte referitoare la consolidarea agenției FRONTEX.</w:t>
      </w:r>
    </w:p>
    <w:p w14:paraId="331A0607" w14:textId="098D25DA"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Cu privire la subiectul Schengen, ministrul afacerilor interne a reiterat importanța unei perspective realiste asupra unui calendar de aderare la Spațiul Schengen, obiectiv pentru care s-au depus eforturi considerabile și s-au făcut investiții semnificative. „Extinderea spațiului de liberă circulaţie va fi nu doar o recunoaştere a eforturilor constante ale României ca furnizor de securitate în serviciul întregii Uniuni, ci şi o expresie a recunoaşterii ataşamentului cetăţenilor români față de proiectul european şi viitorul acestuia”, a declarat Lucian BODE.</w:t>
      </w:r>
    </w:p>
    <w:p w14:paraId="0865F84A" w14:textId="3BDA6C54"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În ceea ce privește subiectul privind migrația și azilul, demnitarul român a subliniat necesitatea înregistrării de progrese pe marginea Pactului privind migrația și azilul, evidențiind flexibilitatea de care a dat dovada România parcursul negocierilor propunerilor legislative care au fost desprinse din Pact.</w:t>
      </w:r>
    </w:p>
    <w:p w14:paraId="4AF2D5C5" w14:textId="3DE9810B"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Cu privire la Ucraina, ministrul afacerilor interne a exprimat apreciere pentru eforturile depuse la nivelul Comisiei Europene de a coordona realizarea acțiunilor evidențiate în cadrul Planului în 10 puncte, subliniind progresele semnificative înregistrate în ceea ce privește majoritatea elementelor acestuia, progrese care vor contribui la gestionarea eficientă a provocărilor determinate de agresiunea militară nejustificată și neprovocată a Rusiei asupra Ucrainei. Cu privire la solidaritatea față de Republica Moldova, demnitarul român a apreciat că este esențial ca acest stat să fie sprijinit în continuare pentru a putea face față provocărilor cu care se confruntă.</w:t>
      </w:r>
    </w:p>
    <w:p w14:paraId="60FFCAD2" w14:textId="1CE1AA17"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În cadrul prânzului de lucru, demnitarul român a reiterat sprijinul permanent pe care România l-a acordat Agenției Frontex, printr-o participare constantă, cu personal și echipamente consistente la operațiunile derulate de Agenție pentru securizarea frontierelor externe UE.</w:t>
      </w:r>
    </w:p>
    <w:p w14:paraId="240776FD" w14:textId="350D11B1" w:rsidR="00DD5DE8" w:rsidRPr="00DD5DE8" w:rsidRDefault="00DD5DE8" w:rsidP="00DD5DE8">
      <w:pPr>
        <w:pStyle w:val="separatorarticole"/>
      </w:pPr>
      <w:r w:rsidRPr="00DD5DE8">
        <w:t>*</w:t>
      </w:r>
    </w:p>
    <w:p w14:paraId="3FC88FF9" w14:textId="7AAC79DD" w:rsidR="00DD5DE8" w:rsidRPr="00DD5DE8" w:rsidRDefault="00DD5DE8" w:rsidP="00DD5DE8">
      <w:pPr>
        <w:pStyle w:val="TitluArticolinINFOUE"/>
        <w:rPr>
          <w:lang w:eastAsia="ro-RO"/>
        </w:rPr>
      </w:pPr>
      <w:bookmarkStart w:id="122" w:name="_Toc106112228"/>
      <w:r w:rsidRPr="00DD5DE8">
        <w:t>Participarea viceprim-ministrului și ministru al transporturilor și infrastructurii, Sorin Grindeanu, la Summitul șefilor de stat și de guvern participanți la Procesul de Cooperare în Europa de Sud-Est (SEECP)</w:t>
      </w:r>
      <w:bookmarkEnd w:id="122"/>
    </w:p>
    <w:p w14:paraId="44E9662C" w14:textId="11A1554A"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La 10 iunie 2022, viceprim-ministrul, ministrul transporturilor și infrastructurii Sorin Grindeanu a participat, la Salonic, la Summitul șefilor de stat și de guvern participanți la Procesul de Cooperare în Europa de Sud-Est (SEECP), la care au mai fost invitați președintele Consiliului European, Charles Michel și secretarul general al Consiliului Cooperării Regionale, Majlinda Bregu.</w:t>
      </w:r>
    </w:p>
    <w:p w14:paraId="49016E37" w14:textId="72C94F69"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Reuniunea la nivel înalt a fost organizată de Președinția în exercițiu a SEECP, exercitată de Atena, în perioada 1 iulie 2021 - 30 iunie 2022, prilejuind un schimb aprofundat de vederi la nivel înalt privind evoluțiile curente la nivel regional, cu accent pe criza din Ucraina, pandemia de COVID-19, perspectivele economice, energetice și de conectivitate.</w:t>
      </w:r>
    </w:p>
    <w:p w14:paraId="56EE11B7" w14:textId="6806B4A2"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 xml:space="preserve">În intervenția sa, viceprim-ministrul Sorin Grindeanu a subliniat importanța cooperării în cadrul SEECP într-o arie extinsă de domenii și a pledat pentru susținerea proiectelor de infrastructură energetică, asigurarea aprovizionării cu alimente în contextul crizei internaționale actuale, dezvoltarea durabilă și stimularea mediului de afaceri în regiunea Europei de Sud-Est. A arătat că situația de securitate din regiunea Mării Negre reconfirmă importanța centrală a cooperării regionale în formate consacrate, precum SEECP, în identificarea de politici care să promoveze securitatea și stabilitatea Europei de Sud-Est. De </w:t>
      </w:r>
      <w:r w:rsidRPr="00DD5DE8">
        <w:rPr>
          <w:rFonts w:ascii="Verdana" w:hAnsi="Verdana"/>
          <w:sz w:val="18"/>
          <w:szCs w:val="18"/>
        </w:rPr>
        <w:lastRenderedPageBreak/>
        <w:t>asemenea, a subliniat necesitatea întăririi coordonării regionale în vederea combaterii efectelor schimbărilor climatice și a atingerii Obiectivelor de Dezvoltare Durabilă în domeniul mediului.</w:t>
      </w:r>
    </w:p>
    <w:p w14:paraId="062A7C3D" w14:textId="3B8A861F"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Oficialul român a reafirmat, de asemenea, susținerea constantă și fermă a României pentru perspectivele europene și euro-atlantice ale statelor din regiune. În context, a menționat sprijinul ferm al României pentru continuarea procesului de extindere a UE cu statele din Balcanii de Vest, proces esențial  pentru stabilitatea și securitatea Europei. A reiterat necesitatea deschiderii, cât mai curând posibil, a negocierilor de aderare cu R. Macedonia de Nord și Albania. A evidențiat, totodată, sprijinul ferm al României pentru obiectivele legitime ale Republicii Moldova, Ucrainei și Georgiei de aderare la Uniunea Europeană.</w:t>
      </w:r>
    </w:p>
    <w:p w14:paraId="26ECF313" w14:textId="5E4DBA6F"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Viceprim-ministrul Sorin Grindeanu a reiterat poziția fermă a României de condamnare a agresiunii militare a Federației Ruse împotriva Ucrainei, precum și preocuparea față de acțiunile Moscovei care vizează periclitarea reformelor, subminarea instituțiilor democratice și obstrucționarea parcursului european al partenerilor din regiunea SEECP.</w:t>
      </w:r>
    </w:p>
    <w:p w14:paraId="6B35DB3E" w14:textId="7016807A"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Vicepremierul român a subliniat măsurile adoptate la nivel național și european pentru gestionarea situației refugiaților din Ucraina, precum și importanța acordării de asistență Ucrainei și Republicii Moldova, inclusiv din perspectiva asigurării securității energetice a celor două state.</w:t>
      </w:r>
    </w:p>
    <w:p w14:paraId="0C28D456" w14:textId="6FF4F729"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La finalul Summit-ului, participanții au adoptat Declarația Comună a Șefilor de State și de Guverne din SEECP și Raportul anual al Secretarului General al Consiliului Cooperării Regionale.</w:t>
      </w:r>
    </w:p>
    <w:p w14:paraId="15668FA2" w14:textId="7BC5BA74"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În marja Summitului, viceprim-ministrul Sorin Grindeanu a avut scurte reuniuni bilaterale cu Natalia Gavrilița, Prim-ministrul Republicii Moldova și cu Nikola Selakovic, ministrul afacerilor externe al Republicii Serbia.</w:t>
      </w:r>
    </w:p>
    <w:p w14:paraId="5ABC6521" w14:textId="3A9EC72B" w:rsidR="00DD5DE8" w:rsidRPr="00DD5DE8" w:rsidRDefault="00DD5DE8" w:rsidP="0079345C">
      <w:pPr>
        <w:pStyle w:val="separatorarticole"/>
      </w:pPr>
      <w:r w:rsidRPr="00DD5DE8">
        <w:t>*</w:t>
      </w:r>
    </w:p>
    <w:p w14:paraId="1AE92AAF" w14:textId="532007DB" w:rsidR="00DD5DE8" w:rsidRPr="00DD5DE8" w:rsidRDefault="00DD5DE8" w:rsidP="0079345C">
      <w:pPr>
        <w:pStyle w:val="TitluArticolinINFOUE"/>
        <w:rPr>
          <w:lang w:eastAsia="ro-RO"/>
        </w:rPr>
      </w:pPr>
      <w:bookmarkStart w:id="123" w:name="_Toc106112229"/>
      <w:r w:rsidRPr="00DD5DE8">
        <w:t>Foaia de Parcurs pentru aderarea României la OCDE, aprobată oficial</w:t>
      </w:r>
      <w:bookmarkEnd w:id="123"/>
    </w:p>
    <w:p w14:paraId="5AAB74F0" w14:textId="75E02F95"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Guvernul salută adoptarea </w:t>
      </w:r>
      <w:r w:rsidRPr="00DD5DE8">
        <w:rPr>
          <w:rStyle w:val="Emphasis"/>
          <w:bdr w:val="none" w:sz="0" w:space="0" w:color="auto" w:frame="1"/>
        </w:rPr>
        <w:t>Foii de Parcurs </w:t>
      </w:r>
      <w:r w:rsidRPr="00DD5DE8">
        <w:rPr>
          <w:rFonts w:ascii="Verdana" w:hAnsi="Verdana"/>
          <w:sz w:val="18"/>
          <w:szCs w:val="18"/>
        </w:rPr>
        <w:t>pentru Aderare (</w:t>
      </w:r>
      <w:r w:rsidRPr="00DD5DE8">
        <w:rPr>
          <w:rStyle w:val="Emphasis"/>
          <w:bdr w:val="none" w:sz="0" w:space="0" w:color="auto" w:frame="1"/>
        </w:rPr>
        <w:t>Accession Roadmap</w:t>
      </w:r>
      <w:r w:rsidRPr="00DD5DE8">
        <w:rPr>
          <w:rFonts w:ascii="Verdana" w:hAnsi="Verdana"/>
          <w:sz w:val="18"/>
          <w:szCs w:val="18"/>
        </w:rPr>
        <w:t>) a României la Organizația pentru Cooperare și Dezvoltare Economică, în cadrul sesiunii de final a reuniunii ministeriale a Consiliului OCDE, din 10 iunie 2022.</w:t>
      </w:r>
    </w:p>
    <w:p w14:paraId="7EB1F313" w14:textId="5D984464"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Foaia de Parcurs fixează termenii, condițiile și etapele procesului de aderare a României la Organizație și urmărește alinierea legislației, politicilor și practicilor interne cu cele ale OCDE. Documentul menționează comitetele sectoriale care vor evalua conformitatea cu legislația și practicile OCDE, principiile care vor ghida activitatea acestora, precum și maniera în care se vor desfășura discuțiile de aderare cu autoritățile române.</w:t>
      </w:r>
    </w:p>
    <w:p w14:paraId="0BC72295" w14:textId="35FA544A"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Foaia de Parcurs accentuează importanța valorilor comune, a viziunii și a priorităților împărtășite cu Organizația, ca elemente esențiale pe întreaga durată a procesului de aderare, inclusiv în etapa finală a obținerii statutului de membru OCDE.</w:t>
      </w:r>
    </w:p>
    <w:p w14:paraId="71865936" w14:textId="54EA0F6D"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Adoptarea Foii de Parcurs reprezintă o etapă-cheie în procesul de alăturare a României la OCDE, un obiectiv important al politicii noastre externe, care consolidează perspectiva continuării pe o traiectorie a progresului și dezvoltării economice.</w:t>
      </w:r>
    </w:p>
    <w:p w14:paraId="4A195777" w14:textId="433CA72F"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w:t>
      </w:r>
      <w:r w:rsidRPr="00DD5DE8">
        <w:rPr>
          <w:rStyle w:val="Emphasis"/>
          <w:bdr w:val="none" w:sz="0" w:space="0" w:color="auto" w:frame="1"/>
        </w:rPr>
        <w:t>Adoptarea Foii de Parcurs pentru aderarea României la OCDE reprezintă un semnal încurajator și o recunoaștere a potențialului țării noastre de convergență cu statele cu economii consolidate. Acest document de orientare privind obiectivele sectoriale și criteriile pe care România le va avea de îndeplinit ne oferă o imagine clară și obiectivă a direcțiilor în care trebuie să ne îndreptăm eforturile pentru succesul discuțiilor de aderare. Avem ca obiectiv implementarea celor mai bune practici și standarde OCDE, cu atât mai mult cu cât ele converg sau sunt complementare celor pe care România și le-a asumat deja prin Planul Național de Redresare și Reziliență și pot contribui la îndeplinirea Programului de Guvernare</w:t>
      </w:r>
      <w:r w:rsidRPr="00DD5DE8">
        <w:rPr>
          <w:rFonts w:ascii="Verdana" w:hAnsi="Verdana"/>
          <w:sz w:val="18"/>
          <w:szCs w:val="18"/>
        </w:rPr>
        <w:t>”, a declarat premierul Nicolae-Ionel Ciucă.</w:t>
      </w:r>
    </w:p>
    <w:p w14:paraId="493D4AF8" w14:textId="06BFD8D7"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Premierul român salută totodată adoptarea, în cadrul aceleiași reuniuni ministeriale a Consiliului OCDE din 9-10 iunie 2022, a unei serii de Recomandări în domenii esențiale pentru dezvoltarea economică și socială, precum politica pentru întreprinderi mici și mijlocii, oportunități mai bune pentru tineri, combaterea infracțiunilor fiscale, sau dezvoltare durabilă. România s-a alăturat la rândul său Recomandărilor respective, printr-un proces de coordonare inter-instituțională facilitat de Ministerul Afacerilor Externe.  </w:t>
      </w:r>
    </w:p>
    <w:p w14:paraId="1D84AA06" w14:textId="74AA6152" w:rsidR="00DD5DE8" w:rsidRPr="00DD5DE8" w:rsidRDefault="0079345C" w:rsidP="0079345C">
      <w:pPr>
        <w:pStyle w:val="separatorarticole"/>
        <w:rPr>
          <w:color w:val="auto"/>
        </w:rPr>
      </w:pPr>
      <w:r>
        <w:t>*</w:t>
      </w:r>
    </w:p>
    <w:p w14:paraId="23961F9F" w14:textId="06600BB7" w:rsidR="00DD5DE8" w:rsidRPr="00DD5DE8" w:rsidRDefault="00DD5DE8" w:rsidP="0079345C">
      <w:pPr>
        <w:pStyle w:val="TitluArticolinINFOUE"/>
        <w:rPr>
          <w:lang w:eastAsia="ro-RO"/>
        </w:rPr>
      </w:pPr>
      <w:bookmarkStart w:id="124" w:name="_Toc106112230"/>
      <w:r w:rsidRPr="00DD5DE8">
        <w:lastRenderedPageBreak/>
        <w:t>Premierul Nicolae-Ionel Ciucă a discutat cu reprezentanții AHK despre planurile de investiții germane în România</w:t>
      </w:r>
      <w:bookmarkEnd w:id="124"/>
    </w:p>
    <w:p w14:paraId="56F0F0ED" w14:textId="2B6B5CFD"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Prim-ministrul Nicolae-Ionel Ciucă s-a întâlnit astăzi, la Palatul Victoria, cu reprezentanții Camerei de Comerț și Industrie Româno-Germane, AHK. </w:t>
      </w:r>
    </w:p>
    <w:p w14:paraId="56799517" w14:textId="54A43EA0"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Participanții la întrevedere au remarcat nivelul înalt al schimburilor comerciale, care sunt estimate la 35 de miliarde de euro în acest an. Interesul companiilor germane pentru investițiile realizate în România au o relevanță specială, în contextul în care lanțurile de aprovizionare în estul Europei și în Asia sunt afectate și influențează capacitatea logistică europeană.</w:t>
      </w:r>
    </w:p>
    <w:p w14:paraId="00789034" w14:textId="22294CE0"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Reprezentanții companiei germane Knauf au anunțat, în cadrul întâlnirii, lansarea unei investiții de 200 de milioane de euro în România. Compania Knauf România are în plan dezvoltarea a două noi facilități de producție pe teritoriul țării noastre pentru ghips carton, profiluri metalice și materiale de izolații, care vor genera 200 de noi locuri de muncă. Aceste investiții vor încuraja producția locală pentru materiale cu valoare adăugată mare, România având oportunitatea de a deveni un exportator în regiune. Totodată, materialele produse în țara noastră vor putea asigura o parte din necesarul intern  al materialelor de construcții, în condițiile în care 90% dintre locuințele din România au nevoie de izolație pentru a putea scădea emisiile de carbon și consumul de energie și gaze naturale destinat încălzirii. </w:t>
      </w:r>
    </w:p>
    <w:p w14:paraId="4A3D56CC" w14:textId="6063512D"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“Această nouă investiție germană în țara noastră este un semnal de încredere, care întărește legăturile noastre economice și oferă acces unor noi tehnologii, necesare modernizării capacităților de producție. Cele peste 300.000 de noi locuri de muncă create de investițiile realizate în România de companiile germane contribuie la bunăstarea țării noastre, generând stabilitate și dezvoltare. Guvernul acordă importanță majoră investițiilor străine, dar și celor realizate de antreprenorii români. Avem toată deschiderea pentru a facilita noi investiții. Atragerea de investiții pe teritoriul țării noastre reprezintă un deziderat al acestui Guvern, garantând stabilitatea și predictibilitatea economică”, a declarat prim-ministrul Nicolae Ciucă.</w:t>
      </w:r>
    </w:p>
    <w:p w14:paraId="7F73F0DE" w14:textId="5598CBA6" w:rsidR="00DD5DE8" w:rsidRPr="00DD5DE8" w:rsidRDefault="00DD5DE8" w:rsidP="0079345C">
      <w:pPr>
        <w:pStyle w:val="separatorarticole"/>
      </w:pPr>
      <w:r w:rsidRPr="00DD5DE8">
        <w:t>*</w:t>
      </w:r>
    </w:p>
    <w:p w14:paraId="518C32F6" w14:textId="369DEE50" w:rsidR="00DD5DE8" w:rsidRPr="00DD5DE8" w:rsidRDefault="00DD5DE8" w:rsidP="0079345C">
      <w:pPr>
        <w:pStyle w:val="TitluArticolinINFOUE"/>
        <w:rPr>
          <w:lang w:eastAsia="ro-RO"/>
        </w:rPr>
      </w:pPr>
      <w:bookmarkStart w:id="125" w:name="_Toc106112231"/>
      <w:r w:rsidRPr="00DD5DE8">
        <w:t>Întâlnirea premierului Nicolae-Ionel Ciucă cu delegația Fondului Monetar Internațional</w:t>
      </w:r>
      <w:bookmarkEnd w:id="125"/>
    </w:p>
    <w:p w14:paraId="368FFA4B" w14:textId="77B806A6" w:rsidR="00DD5DE8" w:rsidRPr="00DD5DE8" w:rsidRDefault="00DD5DE8" w:rsidP="00DD5DE8">
      <w:pPr>
        <w:pStyle w:val="NormalWeb"/>
        <w:spacing w:before="120" w:beforeAutospacing="0" w:after="0" w:afterAutospacing="0"/>
        <w:jc w:val="center"/>
        <w:textAlignment w:val="baseline"/>
        <w:rPr>
          <w:rFonts w:ascii="Verdana" w:hAnsi="Verdana"/>
          <w:sz w:val="18"/>
          <w:szCs w:val="18"/>
        </w:rPr>
      </w:pPr>
      <w:r w:rsidRPr="00DD5DE8">
        <w:rPr>
          <w:rStyle w:val="Strong"/>
          <w:bdr w:val="none" w:sz="0" w:space="0" w:color="auto" w:frame="1"/>
        </w:rPr>
        <w:t>Premierul Nicolae-Ionel Ciucă: Evaluările pozitive ale FMI ne dau încredere să continuăm reformele asumate</w:t>
      </w:r>
    </w:p>
    <w:p w14:paraId="4B44F270" w14:textId="233C4403"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Premierul Nicolae-Ionel Ciucă a primit astăzi, la Palatul Victoria, delegația Fondului Monetar Internațional, aflată în România pentru misiunea anuală de evaluare. </w:t>
      </w:r>
    </w:p>
    <w:p w14:paraId="573546D5" w14:textId="289EE49B"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Anul acesta se împlinesc 50 de ani de când România este membră a FMI, ocazie folosită de premierul român pentru a mulțumi reprezentanților Fondului pentru asistența tehnică și financiară de care a beneficiat țara noastră în toți acești ani. </w:t>
      </w:r>
    </w:p>
    <w:p w14:paraId="275D5539" w14:textId="0A26802B"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Premierul Nicolae Ciucă a apreciat evaluările pozitive ale misiunii Fondului Monetar Internațional, precum și îndrumările făcute la nivelul politicilor fiscale în vederea reducerii deficitelor și asigurării unei creșteri economice sănătoase, în contextul dificil generat la nivel european și internațional de efectele crizelor recente.</w:t>
      </w:r>
      <w:r w:rsidRPr="00DD5DE8">
        <w:rPr>
          <w:rFonts w:ascii="Verdana" w:hAnsi="Verdana"/>
          <w:sz w:val="18"/>
          <w:szCs w:val="18"/>
        </w:rPr>
        <w:br/>
        <w:t>,,M-am bucurat să văd că evaluările evidențiază creșterea economică obținută de România în condițiile dificile în care ne aflăm. Acest lucru ne confirmă că măsurile pe care le-am luat în această perioadă au fost corecte și ne oferă încrederea pentru a continua reformele și politicile guvernamentale pe care ni le-am asumat. Pentru România, Planul Național de Redresare și Reziliență î</w:t>
      </w:r>
      <w:r w:rsidR="0079345C">
        <w:rPr>
          <w:rFonts w:ascii="Verdana" w:hAnsi="Verdana"/>
          <w:sz w:val="18"/>
          <w:szCs w:val="18"/>
        </w:rPr>
        <w:t xml:space="preserve">nseamnă reforme care garantează </w:t>
      </w:r>
      <w:r w:rsidRPr="00DD5DE8">
        <w:rPr>
          <w:rFonts w:ascii="Verdana" w:hAnsi="Verdana"/>
          <w:sz w:val="18"/>
          <w:szCs w:val="18"/>
        </w:rPr>
        <w:t>o dezvoltare sustenabilă și eficientă", a subliniat premierul Ciucă.</w:t>
      </w:r>
    </w:p>
    <w:p w14:paraId="4E2242AA" w14:textId="215802DC"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Prim-ministrul Nicolae-Ionel Ciucă a prezentat eforturile autorităților, în conjunctura  geo-politică și economică actuală, de a asigura sprijin pentru refugiații din Ucraina și de a crește reziliența economiei la factorii externi, care au un impact important la nivelul economiei naționale și regionale. În acest context, șeful Executivului a evidențiat importanța pe care o acordă Guvernul României dezvoltării agriculturii în vederea asigurării securității alimentare și investițiilor destinate creșterii capacității de a produce energie electrică din resurse regenerabile și exploatării gazului din Marea Neagră. </w:t>
      </w:r>
    </w:p>
    <w:p w14:paraId="4C81DEAB" w14:textId="675610A8"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 xml:space="preserve">,,România are capacitatea și dorința de a deveni independentă energetic în următorii ani. Investițiile în noi capacități de producție energetică, precum și exploatarea gazului din Marea Neagră vor asigura </w:t>
      </w:r>
      <w:r w:rsidRPr="00DD5DE8">
        <w:rPr>
          <w:rFonts w:ascii="Verdana" w:hAnsi="Verdana"/>
          <w:sz w:val="18"/>
          <w:szCs w:val="18"/>
        </w:rPr>
        <w:lastRenderedPageBreak/>
        <w:t>independența energetică a României și ne vor oferi oportunitatea de a deveni un pilon important pentru securitatea energetică a Europei", a declarat premierul.</w:t>
      </w:r>
    </w:p>
    <w:p w14:paraId="69029C56" w14:textId="2811D181"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Premierul Nicolae-Ionel Ciucă a prezentat măsurile Guvernului în sprijinul economiei, dar și al cetățenilor vulnerabili, afectați de creșterea prețurilor și de problemele din lanțul de aprovizionare, ca urmare a agresiunii militare ruse din Ucraina, atât pentru stimularea investițiilor, cât și pentru sprijinirea categoriile afectate de creșterile de prețuri la energie și alimente. </w:t>
      </w:r>
    </w:p>
    <w:p w14:paraId="04B18CF8" w14:textId="29BE1762"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Pachetul de măsuri ”Sprijin pentru România”, în valoare de 17,3 miliarde de lei, acordă pentru investiții și dezvoltare 60% din suma alocată, iar în prezent circa două treimi din acest pachet de măsuri este deja implementat. Investițiile reprezintă un obiectiv asumat al Guvernului și șansa unei creșteri economice sustenabile, iar anul acesta România are cel mai mare buget de investiții din ultimii 30 de ani, respectiv 88 de miliarde de lei. Prim-ministrul a arătat că Executivul abordează integrat fondurile care contribuie la dezvoltarea țării, menționând programele operaționale aferente cadrului financiar multianual 2014-2020, dar și celui pentru perioada 2021-2027, care are majoritatea programelor pregătite pentru atragerea de fonduri europene.</w:t>
      </w:r>
    </w:p>
    <w:p w14:paraId="3F5F5170" w14:textId="3841C485"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Ambele părți au subliniat importanța digitalizării, atât pentru dezvoltarea și modernizarea economiei, cât și pentru obținerea unei mai bune performanțe fiscale. În acest sens, premierul României a prezentat principalele măsuri implementate și efectele care se resimt deja în funcționarea sistemelor de linie.</w:t>
      </w:r>
    </w:p>
    <w:p w14:paraId="73D91E6D" w14:textId="6B82A093" w:rsidR="0079345C"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În cadrul dialogului, reprezentanții FMI au arătat apreciere pentru eforturile făcute în sensul controlului asupra creșterii inflației, dar și a respectării angajamentelor asumate în privința deficitului. În acest sens, premierul a menționat decizia luată pentru tăierea cheltuielilor guvernamentale.</w:t>
      </w:r>
    </w:p>
    <w:p w14:paraId="2D4834A4" w14:textId="609DDF5A" w:rsidR="00DD5DE8" w:rsidRPr="00DD5DE8" w:rsidRDefault="00DD5DE8" w:rsidP="00DD5DE8">
      <w:pPr>
        <w:pStyle w:val="NormalWeb"/>
        <w:spacing w:before="120" w:beforeAutospacing="0" w:after="0" w:afterAutospacing="0"/>
        <w:jc w:val="both"/>
        <w:textAlignment w:val="baseline"/>
        <w:rPr>
          <w:rFonts w:ascii="Verdana" w:hAnsi="Verdana"/>
          <w:sz w:val="18"/>
          <w:szCs w:val="18"/>
        </w:rPr>
      </w:pPr>
      <w:r w:rsidRPr="00DD5DE8">
        <w:rPr>
          <w:rFonts w:ascii="Verdana" w:hAnsi="Verdana"/>
          <w:sz w:val="18"/>
          <w:szCs w:val="18"/>
        </w:rPr>
        <w:t>"Acest raport reprezintă pentru Guvernul României nu doar o fotografie de etapă pentru situația economică a țării, dar și un vot de încredere primit din partea uneia dintre cele mai importante instituţii financiare internaționale, care cunoaște îndeaproape evoluția noastră din ultimii zeci de ani", a declarat premierul Nicolae Ciucă.</w:t>
      </w:r>
    </w:p>
    <w:p w14:paraId="3717A63B" w14:textId="2053FE8A" w:rsidR="00DD5DE8" w:rsidRPr="00DD5DE8" w:rsidRDefault="00DD5DE8" w:rsidP="0079345C">
      <w:pPr>
        <w:pStyle w:val="separatorarticole"/>
        <w:rPr>
          <w:noProof/>
          <w:lang w:eastAsia="ro-RO"/>
        </w:rPr>
      </w:pPr>
      <w:r w:rsidRPr="00DD5DE8">
        <w:rPr>
          <w:noProof/>
          <w:lang w:eastAsia="ro-RO"/>
        </w:rPr>
        <w:t>*</w:t>
      </w:r>
    </w:p>
    <w:p w14:paraId="3A86989C" w14:textId="091ACBBA" w:rsidR="00DD3224" w:rsidRPr="00AC711E" w:rsidRDefault="00DD3224" w:rsidP="00DD5DE8">
      <w:pPr>
        <w:pStyle w:val="TitluArticolinINFOUE"/>
        <w:rPr>
          <w:lang w:eastAsia="ro-RO"/>
        </w:rPr>
      </w:pPr>
      <w:bookmarkStart w:id="126" w:name="_Toc106112232"/>
      <w:r w:rsidRPr="00AC711E">
        <w:t>Premierul Nicolae-Ionel Ciucă: Este nevoie să lucrăm împreună și să ne asumăm decizii curajoase pentru un mediu mai sănătos</w:t>
      </w:r>
      <w:bookmarkEnd w:id="126"/>
    </w:p>
    <w:p w14:paraId="1BDE8C59"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Premierul Nicolae-Ionel Ciucă a prezidat, astăzi, prima reuniune a Comitetului interministerial privind schimbările climatice, a cărui înființare și funcționare reprezintă jalon în PNRR.</w:t>
      </w:r>
    </w:p>
    <w:p w14:paraId="75327239"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Dezbaterile din cadrul reuniunii de la Palatul Victoria s-au axat asupra mandatului României în contextul Pachetului legislativ european “Fit for 55” și a priorităților țării noastre pentru Summit-ul privind schimbările climatice COP27. Alături de detalii privind organizarea și funcționarea Comitetului, pe agenda întâlnirii s-au regăsit și alte teme precum modelarea și analiza planificării politicilor energetice și climatice pe termen lung sau alocarea de resurse.</w:t>
      </w:r>
    </w:p>
    <w:p w14:paraId="29F2DF98"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Style w:val="Emphasis"/>
          <w:bdr w:val="none" w:sz="0" w:space="0" w:color="auto" w:frame="1"/>
        </w:rPr>
        <w:t>„Este nevoie de coordonare instituțională între ministere, Guvern și Administrația Prezidențială, între instituțiile statului român și organismele europene și internaționale, pentru o abordare coerentă și coordonată a măsurilor de combatere a efectelor schimbărilor climatice. Integrarea măsurilor necesare în zona de reforme, investiții, dezvoltare, echilibru economic o putem asigura lucrând împreună și asumându-ne decizii curajoase pentru un mediu mai sănătos. Este responsabilitatea noastră să ne gestionăm prezentul, şi mai ales viitorul, în condiţiile în care vedem aceste efecte atât la nivel global, cât şi la nivel naţional”,</w:t>
      </w:r>
      <w:r w:rsidRPr="00AC711E">
        <w:rPr>
          <w:rFonts w:ascii="Verdana" w:hAnsi="Verdana"/>
          <w:sz w:val="18"/>
          <w:szCs w:val="18"/>
        </w:rPr>
        <w:t> a afirmat premierul Nicolae-Ionel Ciucă.</w:t>
      </w:r>
    </w:p>
    <w:p w14:paraId="58DB4125"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La întâlnire au participat, alături de premierul Nicolae-Ionel Ciucă, și ministrul Mediului, Apelor și Pădurilor, Tanczos Barna, șeful Cancelariei prim-ministrului, Mircea Abrudean, secretarul general al Guvernului, Marian Neacșu, consilierul de stat la Administrația Prezidențială, Alexandra Bocșe, și reprezentanți ai instituţiilor cu atribuții în domeniul combaterii schimbărilor climatice.</w:t>
      </w:r>
    </w:p>
    <w:p w14:paraId="77CF09EF" w14:textId="78F52862" w:rsidR="00236C65" w:rsidRPr="00AC711E" w:rsidRDefault="00DD3224" w:rsidP="00AC711E">
      <w:pPr>
        <w:pStyle w:val="NormalWeb"/>
        <w:spacing w:before="120" w:beforeAutospacing="0" w:after="0" w:afterAutospacing="0"/>
        <w:jc w:val="both"/>
        <w:textAlignment w:val="baseline"/>
        <w:rPr>
          <w:rStyle w:val="Strong"/>
          <w:i/>
          <w:iCs/>
          <w:bdr w:val="none" w:sz="0" w:space="0" w:color="auto" w:frame="1"/>
        </w:rPr>
      </w:pPr>
      <w:r w:rsidRPr="00AC711E">
        <w:rPr>
          <w:rStyle w:val="Strong"/>
          <w:i/>
          <w:iCs/>
          <w:bdr w:val="none" w:sz="0" w:space="0" w:color="auto" w:frame="1"/>
        </w:rPr>
        <w:t>Informații de background:    </w:t>
      </w:r>
    </w:p>
    <w:p w14:paraId="2CD00A27"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Comitetul interministerial pentru schimbări climatice are rolul de a propune și de a monitoriza politicile prioritare anuale în domeniul schimbărilor climatice în concordanță cu angajamentele asumate la nivel național, față de Uniunea Europeană, inclusiv prin Planul național de redresare și reziliență al României, față de Organizația Națiunilor Unite și alte organizații internaționale la care România este parte sau în curs de a accede.</w:t>
      </w:r>
    </w:p>
    <w:p w14:paraId="1E2052A7"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lastRenderedPageBreak/>
        <w:t>Comitetul este condus de prim-ministrul României, în calitate de preşedinte sau, în absența premierului, de către şeful Cancelariei prim-ministrului, în calitate de vicepreşedinte.</w:t>
      </w:r>
    </w:p>
    <w:p w14:paraId="0646BADD"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Comitetul mai are alți doi vicepreşedinţi, demnitarul care conduce Departamentul Climă şi Sustenabilitate din cadrul Administraţiei Prezidenţiale şi ministrul Mediului, Apelor şi Pădurilor.</w:t>
      </w:r>
    </w:p>
    <w:p w14:paraId="0FB9F510" w14:textId="34ABCA9F"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Este format din reprezentanţi ai instituţiilor publice din România care elaborează şi implementează politici cu impact în domeniul combaterii schimbărilor climatice, la nivel de ministru sau secretar de stat desemnat, consilieri prezidenţiali sau consilieri de stat din partea Administraţiei Prezidenţiale, respectiv reprezentanţi la nivel de conducător ai instituţiilor.</w:t>
      </w:r>
    </w:p>
    <w:p w14:paraId="491C9FCE" w14:textId="1A7AF813" w:rsidR="00DD3224" w:rsidRPr="00AC711E" w:rsidRDefault="00DD3224" w:rsidP="00AC711E">
      <w:pPr>
        <w:pStyle w:val="separatorarticole"/>
      </w:pPr>
      <w:r w:rsidRPr="00AC711E">
        <w:t>*</w:t>
      </w:r>
    </w:p>
    <w:p w14:paraId="0BBEA97F" w14:textId="77777777" w:rsidR="00DD3224" w:rsidRPr="00AC711E" w:rsidRDefault="00DD3224" w:rsidP="00AC711E">
      <w:pPr>
        <w:pStyle w:val="TitluArticolinINFOUE"/>
      </w:pPr>
      <w:bookmarkStart w:id="127" w:name="_Toc106112233"/>
      <w:r w:rsidRPr="00AC711E">
        <w:t>Primirea de către prim-ministrul Nicolae-Ionel Ciucă a ministrului Apărării Republicii Moldova, Anatolie Nosatîi</w:t>
      </w:r>
      <w:bookmarkEnd w:id="127"/>
    </w:p>
    <w:p w14:paraId="3D890EA1"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Prim-ministrul României Nicolae-Ionel Ciucă l-a primit, la Palatul Victoria, pe ministrul Apărării Republicii Moldova, Anatolie Nosatîi. Primirea a avut loc în contextul vizitei efectuate de către oficialul Republicii Moldova la București, la invitația omologului său român. </w:t>
      </w:r>
    </w:p>
    <w:p w14:paraId="0718C6FA"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Prim-ministrul Nicolae-Ionel Ciucă a salutat vizita oaspetelui din Republica Moldova și a subliniat nevoia de dialog în vremuri complicate și cu efecte importante ale situației actuale, determinată de agresiunea militară a Rusiei asupra Ucraina. </w:t>
      </w:r>
    </w:p>
    <w:p w14:paraId="1DD6EC47"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Premierul României a reafirmat sprijinul deplin și activ al României pentru dezideratele Republicii Moldova ca, împreună cu Ucraina și Georgia, să devină candidat la admiterea în Uniunea Europeană. Nevoia abordării unitare a celor trei state din trio-ul asociat se regăsește permanent pe linia eforturilor susținute ale României pe această direcție.</w:t>
      </w:r>
    </w:p>
    <w:p w14:paraId="724300B0"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Oficialul de la Chișinău a salutat și mulțumit pentru sprijinul constant al României, susținerea politică, economică și financiară pentru ca Republica Moldova să traverseze crizele suprapuse cu care se confruntă – refugiați, criza energetică, inflația – dar și pentru a-și atinge dezideratul de a dobândi statutul de candidat la admiterea în Uniunea Europeană.</w:t>
      </w:r>
    </w:p>
    <w:p w14:paraId="7B104836"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Cele două părți au făcut o trecere în revistă a principalelor problematici bilaterale, inclusiv eforturile fluidizării traficului la frontieră. În acest sens, optimizarea procedurilor de lucru va putea permite eficientizarea acțiunilor derulate pentru controlul la frontieră. Au mai fost abordate problematica energiei și evoluțiile de securitate din regiune, cu precădere dezinformarea și propaganda respectiv elementele de război hibrid prezente în stânga Prutului. </w:t>
      </w:r>
    </w:p>
    <w:p w14:paraId="3EE1ED54" w14:textId="6F8F344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De asemenea, au fost abordate temele cooperării cu instituțiile internaționale și cu România în întărirea instrumentarului de asigurare a păcii și stabilității, a securității cetățenilor în Republica Moldova și în regiune.</w:t>
      </w:r>
    </w:p>
    <w:p w14:paraId="373F826A" w14:textId="4093D7D5" w:rsidR="00DD3224" w:rsidRPr="00AC711E" w:rsidRDefault="00DD3224" w:rsidP="00AC711E">
      <w:pPr>
        <w:pStyle w:val="separatorarticole"/>
      </w:pPr>
      <w:r w:rsidRPr="00AC711E">
        <w:t>*</w:t>
      </w:r>
    </w:p>
    <w:p w14:paraId="3056F98C" w14:textId="77777777" w:rsidR="00DD3224" w:rsidRPr="00AC711E" w:rsidRDefault="00DD3224" w:rsidP="00AC711E">
      <w:pPr>
        <w:pStyle w:val="TitluArticolinINFOUE"/>
        <w:rPr>
          <w:lang w:eastAsia="ro-RO"/>
        </w:rPr>
      </w:pPr>
      <w:bookmarkStart w:id="128" w:name="_Toc106112234"/>
      <w:r w:rsidRPr="00AC711E">
        <w:t>Participarea României la ”Conferința din Cadrul Decadei Internaționale a Apei”, Dushanbe</w:t>
      </w:r>
      <w:bookmarkEnd w:id="128"/>
    </w:p>
    <w:p w14:paraId="0D206964"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O delegație a României, condusă de către László Borbély, consilier de stat, coordonator al Departamentului pentru Dezvoltare Durabilă, participă în perioada 6-9 iunie 2022 la ”Conferința din Cadrul Decadei Internaționale a Apei”, ce are loc la Dușanbe, Tadjikistan.</w:t>
      </w:r>
    </w:p>
    <w:p w14:paraId="2D59BE6B"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Conferința organizată la nivel înalt reunește peste 800 de reprezentanți ai statelor membre ONU, instituțiilor ONU, organizațiilor internaționale și regionale, instituțiilor financiare internaționale, întreprinderilor dar și ai guvernelor locale, organizațiilor neguvernamentale, societății civile, mediului academic și mass-media.</w:t>
      </w:r>
    </w:p>
    <w:p w14:paraId="778CD9B2"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 xml:space="preserve">„Apa, cea mai prețioasă resursă a vieții, este indispensabilă pentru bunăstarea omenirii, fiind în același timp o resursă critică pentru dezvoltarea durabilă și pentru eradicarea sărăciei și a foametei. Provocările precum accesul limitat la apă curată și sanitație, presiunea crescută asupra resurselor de apă și asupra ecosistemelor, dezastrele și riscul de secetă și inundații ne determină în acest moment să reevaluăm ceea ce s-a conceput în anul 2015. Cu siguranță avem nevoie de o consolidare a relațiilor interinstituționale și pe acest segment. România a demonstrat că poate implementa Agenda 2030 inclusiv prin acțiuni pe zona de apă. Managementul integrat al resurselor de apă și cooperarea în vederea atingerii țintelor și </w:t>
      </w:r>
      <w:r w:rsidRPr="00AC711E">
        <w:rPr>
          <w:rFonts w:ascii="Verdana" w:hAnsi="Verdana"/>
          <w:sz w:val="18"/>
          <w:szCs w:val="18"/>
        </w:rPr>
        <w:lastRenderedPageBreak/>
        <w:t>obiectivelor asumate la nivel internațional vin în sprijinul construirii unor societăți rezistente și durabile.”, a declarat consilierul de stat László Borbély, coordonatorul Departamentului pentru Dezvoltare Durabilă.</w:t>
      </w:r>
    </w:p>
    <w:p w14:paraId="20BD54CA"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România este coautor al Rezoluției nr.71/222 din 21 decembrie 2016 inițiată de către Tadjikistan prin care Adunarea Generală a Organizației Națiunilor Unite a declarat perioada 2018-2028 ca fiind Decada Internațională de Acțiune ”Apă pentru Dezvoltare Durabilă”.</w:t>
      </w:r>
    </w:p>
    <w:p w14:paraId="06C2A1DE"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Rezoluția decide că obiectivele Decadei ar trebui urmărite prin îmbunătățirea generării și diseminării cunoștințelor, facilitând accesul la cunoștințe și schimbul de bune practici; generarea de noi informații relevante pentru Obiectivele de Dezvoltare Durabilă (ODD) legate de apă; crearea de rețele și promovarea parteneriatelor și acțiunilor diferiților actori și consolidarea acțiunilor de comunicare la diferite niveluri pentru implementarea obiectivelor legate de apă.</w:t>
      </w:r>
    </w:p>
    <w:p w14:paraId="0E5145E9"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România, prin Departamentul pentru Dezvoltare Durabilă, sprijină implementarea “Procesului Global de Analiză și Evaluare a Sanitației și Apei Potabile 2021-2022 (UN-Water Global Analysis and Assessment of Sanitation and Drinking-Water – GLAAS)”, fiind punct focal național, responsabil pentru coordonarea procesului național GLAAS.</w:t>
      </w:r>
    </w:p>
    <w:p w14:paraId="41F8EA96"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Pe perioada desfășurării Conferinței din Cadrul Decadei Internaționale a Apei, vor avea loc 12 panel-uri ce vizează teme precum: Creșterea conexiunilor dintre apă și sănătate pentru a adresa provocările post COVID-19, Accelerarea accesului la condiții apă sanitară și sigură, Promovarea soluțiilor, mecanismelor și tehnologiilor bazate pe știință în domeniul apei. </w:t>
      </w:r>
    </w:p>
    <w:p w14:paraId="3616AA6F"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Vizita la Dushanbe a debutat cu întâlnirea bilaterală pe care consilierul de stat  László Borbély a avut-o cu ministrul ecologiei, geologiei și resurselor naturale al Kazakhstanului, H.E. Serikkali Brekeshev Amangaliuly. Cei doi demnitari au agreat importanța Agendei 2030, un adevărat liant între state care facilitează comunicarea și subliniază necesitatea conlucrării. Discuții aplicate au avut loc de asemenea între László Borbély și comisarul european responsabil pentru mediu, oceane și pescuit, Virginijus Sinkevicius.</w:t>
      </w:r>
    </w:p>
    <w:p w14:paraId="63BC0EE2" w14:textId="35E100D6" w:rsidR="00DD3224" w:rsidRPr="00AC711E" w:rsidRDefault="00DD3224" w:rsidP="00AC711E">
      <w:pPr>
        <w:pStyle w:val="separatorarticole"/>
      </w:pPr>
      <w:r w:rsidRPr="00AC711E">
        <w:t>*</w:t>
      </w:r>
    </w:p>
    <w:p w14:paraId="4B205CFD" w14:textId="77777777" w:rsidR="00DD3224" w:rsidRPr="00AC711E" w:rsidRDefault="00DD3224" w:rsidP="00AC711E">
      <w:pPr>
        <w:pStyle w:val="TitluArticolinINFOUE"/>
        <w:rPr>
          <w:lang w:eastAsia="ro-RO"/>
        </w:rPr>
      </w:pPr>
      <w:bookmarkStart w:id="129" w:name="_Toc106112235"/>
      <w:r w:rsidRPr="00AC711E">
        <w:t>Premierul Nicolae-Ionel Ciucă: Semnarea primelor contracte de finanțare din PNRR la Palatul Victoria este semnalul susținerii pe care Guvernul o acordă comunităților locale</w:t>
      </w:r>
      <w:bookmarkEnd w:id="129"/>
    </w:p>
    <w:p w14:paraId="097EEED3"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Premierul Nicolae-Ionel Ciucă a participat astăzi la semnarea primelor contracte finanțate din Planul Național de Redresare și Reziliență, selectate în cadrul apelului de proiecte ”Valul Renovării”.</w:t>
      </w:r>
    </w:p>
    <w:p w14:paraId="659CBA57"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Este vorba despre șapte contracte de finanțare încheiate între autorități publice locale și Ministerul Dezvoltării, Lucrărilor Publice și Administrației, în valoare de peste 92 milioane de lei. Acestea vizează reabilitarea și modernizarea unor unități de învățământ şi primării, creşterea eficienţei energetice și eficientizare termică a unor sedii administrative.</w:t>
      </w:r>
    </w:p>
    <w:p w14:paraId="48A58375"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w:t>
      </w:r>
      <w:r w:rsidRPr="00AC711E">
        <w:rPr>
          <w:rStyle w:val="Emphasis"/>
          <w:bdr w:val="none" w:sz="0" w:space="0" w:color="auto" w:frame="1"/>
        </w:rPr>
        <w:t>Am invitat la Palatul Victoria reprezentanți ai autorităților din teritoriu să semneze, împreună cu domnul ministru Cseke, finanțarea proiectelor de creștere a eficienței energetice pentru obiective publice locale. Este semnalul susținerii pe care Guvernul României o acordă comunităților locale, aflate cel mai aproape de cetățeni. Avem nevoie de un parteneriat strâns pentru ca resursele europene să ajungă la comunități, la români. Felicit primăriile și consiliul județean care au semnat, azi, contractele prin care primesc finanțare. Însă, asemenea lor, alte 1430 de proiecte din toată țara vor avea la dispoziție peste 2,4 miliarde de euro, din PNRR și din surse naționale, pentru reabilitarea blocurilor de locuințe și a școlilor, unităților sanitare, clădirilor publice din toată țara</w:t>
      </w:r>
      <w:r w:rsidRPr="00AC711E">
        <w:rPr>
          <w:rFonts w:ascii="Verdana" w:hAnsi="Verdana"/>
          <w:sz w:val="18"/>
          <w:szCs w:val="18"/>
        </w:rPr>
        <w:t>”, a declarat premierul Nicolae-Ionel Ciucă.</w:t>
      </w:r>
    </w:p>
    <w:p w14:paraId="10B0EFE8"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Prim-ministrul a adăugat că acest apel de proiecte este desfășurat total transparent, în sistem digital, oferind șanse egale de finanțare tuturor comunităților locale, indiferent de regiune sau de apartenența politică a primarului, iar cetățenilor, posibilitatea de a vedea cum sunt alocate fondurile publice naționale și europene. </w:t>
      </w:r>
      <w:r w:rsidRPr="00AC711E">
        <w:rPr>
          <w:rStyle w:val="Emphasis"/>
          <w:bdr w:val="none" w:sz="0" w:space="0" w:color="auto" w:frame="1"/>
        </w:rPr>
        <w:t>”Susțin cu fermitate extinderea acestui model de bune practici în administrația centrală. Transparența și responsabilitatea în serviciul public sunt baza recâștigării încrederii românilor”,</w:t>
      </w:r>
      <w:r w:rsidRPr="00AC711E">
        <w:rPr>
          <w:rFonts w:ascii="Verdana" w:hAnsi="Verdana"/>
          <w:sz w:val="18"/>
          <w:szCs w:val="18"/>
        </w:rPr>
        <w:t> a adăugat premierul.</w:t>
      </w:r>
    </w:p>
    <w:p w14:paraId="6EF046EF"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Style w:val="Emphasis"/>
          <w:bdr w:val="none" w:sz="0" w:space="0" w:color="auto" w:frame="1"/>
        </w:rPr>
        <w:t xml:space="preserve">”De la punerea în transparență a ghidului solicitantului acum mai puțin de patru luni am ajuns, într-un timp record, la semnarea contractelor. Guvernul României, prin Ministerul Dezvoltării, a pus la dispoziția autorităților locale proceduri transparente și o platformă digitală pentru depunerea cererilor de finanțare, care au asigurat o procedură expeditivă. Felicit autoritățile locale pentru promptitudinea și profesionalismul </w:t>
      </w:r>
      <w:r w:rsidRPr="00AC711E">
        <w:rPr>
          <w:rStyle w:val="Emphasis"/>
          <w:bdr w:val="none" w:sz="0" w:space="0" w:color="auto" w:frame="1"/>
        </w:rPr>
        <w:lastRenderedPageBreak/>
        <w:t>de care au dat dovadă. În curând vom vedea primele clădiri care intră în renovare”</w:t>
      </w:r>
      <w:r w:rsidRPr="00AC711E">
        <w:rPr>
          <w:rFonts w:ascii="Verdana" w:hAnsi="Verdana"/>
          <w:sz w:val="18"/>
          <w:szCs w:val="18"/>
        </w:rPr>
        <w:t>, a declarat Cseke Attila.</w:t>
      </w:r>
    </w:p>
    <w:p w14:paraId="12DE2CBF" w14:textId="77777777"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În perioada 1 aprilie 2022 - 30 mai 2022, au fost depuse 1.437 de cereri de finanțare, care vor beneficia de finanțare de 2,4 miliarde de euro pentru a asigura tranziția către un fond construit verde și rezilient.</w:t>
      </w:r>
    </w:p>
    <w:p w14:paraId="5403EE7D" w14:textId="2F6FA563" w:rsidR="00DD3224" w:rsidRPr="00AC711E" w:rsidRDefault="00DD3224" w:rsidP="00AC711E">
      <w:pPr>
        <w:pStyle w:val="separatorarticole"/>
      </w:pPr>
      <w:r w:rsidRPr="00AC711E">
        <w:t>*</w:t>
      </w:r>
    </w:p>
    <w:p w14:paraId="7DDEBF30" w14:textId="77777777" w:rsidR="00DD3224" w:rsidRPr="00AC711E" w:rsidRDefault="00DD3224" w:rsidP="00AC711E">
      <w:pPr>
        <w:pStyle w:val="TitluArticolinINFOUE"/>
        <w:rPr>
          <w:lang w:eastAsia="ro-RO"/>
        </w:rPr>
      </w:pPr>
      <w:bookmarkStart w:id="130" w:name="_Toc106112236"/>
      <w:r w:rsidRPr="00AC711E">
        <w:t>Participarea premierului Nicolae-Ionel Ciucă la reuniunea Comitetului de monitorizare a Planului Național de Redresare și Reziliență</w:t>
      </w:r>
      <w:bookmarkEnd w:id="130"/>
    </w:p>
    <w:p w14:paraId="36F8FCBA" w14:textId="77777777" w:rsidR="00DD3224" w:rsidRPr="00AC711E" w:rsidRDefault="00DD3224" w:rsidP="00AC711E">
      <w:pPr>
        <w:pStyle w:val="NormalWeb"/>
        <w:spacing w:before="120" w:beforeAutospacing="0" w:after="0" w:afterAutospacing="0"/>
        <w:jc w:val="center"/>
        <w:textAlignment w:val="baseline"/>
        <w:rPr>
          <w:rFonts w:ascii="Verdana" w:hAnsi="Verdana"/>
          <w:sz w:val="18"/>
          <w:szCs w:val="18"/>
        </w:rPr>
      </w:pPr>
      <w:r w:rsidRPr="00AC711E">
        <w:rPr>
          <w:rStyle w:val="Strong"/>
          <w:bdr w:val="none" w:sz="0" w:space="0" w:color="auto" w:frame="1"/>
        </w:rPr>
        <w:t>Nicolae-Ionel Ciucă: Guvernul este în grafic cu acțiunile pentru ca România să beneficieze de 10 miliarde de euro din PNRR în 2022</w:t>
      </w:r>
    </w:p>
    <w:p w14:paraId="7E17B3F1"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Premierul Nicolae-Ionel Ciucă a prezidat, la Palatul Victoria, reuniunea Comitetului de monitorizare a Planului Național de Redresare și Reziliență, prima de acest gen după depunerea de către România, pe 31 mai, a primei cereri de plată la Comisia Europeană.</w:t>
      </w:r>
    </w:p>
    <w:p w14:paraId="775136A6"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”Valorificarea celor 30 de miliarde de euro din PNRR este un efort coordonat și coerent, cu borne bine stabilite, termene și responsabili pentru fiecare domeniu. Am dovedit că am reușit să operaționalizăm acest mecanism de finanțare europeană într-o perioadă scurtă și deloc simplă pentru România și să trimitem prima cerere de plată. Prefinanțarea primită, în valoare de 3,7 miliarde de euro, adăugată primei cereri de plată deja transmise Comisiei Europene, ne arată clar că suntem în grafic pentru a obține ceea ce ne-am propus, respectiv ca România să beneficieze în acest an de 10 miliarde de euro din PNRR. În continuare voi monitoriza îndeplinirea țintelor, jaloanelor și reformelor din PNRR. Sunt convins că disciplina muncii echipei guvernamentale și responsabilitatea ne vor ghida în continuare activitatea”, a declarat premierul Nicolae-Ionel Ciucă.</w:t>
      </w:r>
    </w:p>
    <w:p w14:paraId="7D20849A"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Discuțiile din cadrul întâlnirii s-au axat asupra procedurilor și măsurilor asociate depunerii cererii de plată în sumă de aproximativ 3 miliarde de euro, din care aproximativ 2 miliarde de euro reprezintă fonduri nerambursabile, iar circa 1 miliard finanțare sub formă de împrumut.</w:t>
      </w:r>
    </w:p>
    <w:p w14:paraId="2E10C837"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În acest sens, Ministerul Investițiilor și Proiectelor Europene a transmis ministerelor coordonatoare de reformă și investiții forma aprobată de către Comisie a Acordului de tip operațional, document necesar pentru implementarea PNRR. De asemenea, ministerele coordonatoare urmează să implementeze planuri de acțiune specifice pentru îmbunătățirea sistemului de management și control aferent Planului Național de Redresare și Reziliență, stabilite prin consultări la nivelul instituțiilor statului, precum și în dialog între Guvern și Comisia Europeană.</w:t>
      </w:r>
    </w:p>
    <w:p w14:paraId="48DB0A0D"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n contextul planului REPowerEU, care propune un set de acțiuni pentru a economisi energia, a diversifica sursele de aprovizionare și pentru a accelera tranziția Europei către o energie curată, Comitetul a analizat comunicarea Comisiei Europene pe acest subiect. Orientările transmise statelor membre detaliază și explică modalitățile de elaborare a capitolelor dedicate planului REPowerEU, axându-se pe procesul de modificare a planurilor existente.</w:t>
      </w:r>
    </w:p>
    <w:p w14:paraId="704C8B5E" w14:textId="77777777" w:rsidR="00236C65"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În cadrul reuniunii, a fost prezentată situația ghidurilor pentru apelurile de proiecte competitive din PNRR, inclusiv a schemelor de ajutor de stat, pentru 61 din cele 71 de proiecte (85%) fiind stabilite termene de lansare în 2022.</w:t>
      </w:r>
    </w:p>
    <w:p w14:paraId="090429EA" w14:textId="5D1E58B5" w:rsidR="00DD3224" w:rsidRPr="00AC711E" w:rsidRDefault="00DD3224" w:rsidP="00AC711E">
      <w:pPr>
        <w:pStyle w:val="NormalWeb"/>
        <w:spacing w:before="120" w:beforeAutospacing="0" w:after="0" w:afterAutospacing="0"/>
        <w:jc w:val="both"/>
        <w:textAlignment w:val="baseline"/>
        <w:rPr>
          <w:rFonts w:ascii="Verdana" w:hAnsi="Verdana"/>
          <w:sz w:val="18"/>
          <w:szCs w:val="18"/>
        </w:rPr>
      </w:pPr>
      <w:r w:rsidRPr="00AC711E">
        <w:rPr>
          <w:rFonts w:ascii="Verdana" w:hAnsi="Verdana"/>
          <w:sz w:val="18"/>
          <w:szCs w:val="18"/>
        </w:rPr>
        <w:t>Următoarea cerere de plată din partea României va fi transmisă Comisiei Europene în trimestrul al III-lea 2022 și include jaloanele și țintele care au termen de realizare trimestrele I și II 2022. Valoarea celei de-a doua cereri este de peste 3,2 miliarde euro, din care 2,14 miliarde euro fonduri nerambursabile și peste 1 miliard finanțare sub formă de împrumuturi.</w:t>
      </w:r>
    </w:p>
    <w:p w14:paraId="2CC55A97" w14:textId="7259D30D" w:rsidR="0006539B" w:rsidRDefault="0006539B" w:rsidP="0006539B">
      <w:pPr>
        <w:pStyle w:val="Stilsursa"/>
        <w:rPr>
          <w:rStyle w:val="Hyperlink"/>
          <w:sz w:val="14"/>
          <w:szCs w:val="24"/>
        </w:rPr>
      </w:pPr>
      <w:r w:rsidRPr="0006539B">
        <w:t xml:space="preserve">Sursa: Guvernul României - </w:t>
      </w:r>
      <w:hyperlink r:id="rId15" w:history="1">
        <w:r w:rsidR="00B072FE" w:rsidRPr="00523108">
          <w:rPr>
            <w:rStyle w:val="Hyperlink"/>
            <w:sz w:val="14"/>
            <w:szCs w:val="24"/>
          </w:rPr>
          <w:t>https://gov.ro/ro/media/comunicate</w:t>
        </w:r>
      </w:hyperlink>
    </w:p>
    <w:bookmarkEnd w:id="12"/>
    <w:bookmarkEnd w:id="13"/>
    <w:bookmarkEnd w:id="14"/>
    <w:bookmarkEnd w:id="15"/>
    <w:bookmarkEnd w:id="16"/>
    <w:bookmarkEnd w:id="17"/>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6B81C4D6" w:rsidR="00FD2452" w:rsidRPr="00F50627" w:rsidRDefault="00FD2452" w:rsidP="00B2000B">
      <w:pPr>
        <w:pStyle w:val="InfoEuropeana"/>
        <w:spacing w:before="0"/>
        <w:ind w:right="198"/>
      </w:pPr>
      <w:bookmarkStart w:id="131" w:name="_Toc106112237"/>
      <w:r w:rsidRPr="00F50627">
        <w:lastRenderedPageBreak/>
        <w:t>Informaţie Europeană</w:t>
      </w:r>
      <w:bookmarkEnd w:id="13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32" w:name="_Toc415050943"/>
      <w:r w:rsidRPr="00AA06A7">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33" w:name="_Toc464051883"/>
      <w:bookmarkStart w:id="134" w:name="_Toc464117719"/>
      <w:bookmarkStart w:id="135" w:name="_Toc466963745"/>
      <w:bookmarkStart w:id="136" w:name="_Toc106112238"/>
      <w:bookmarkEnd w:id="132"/>
      <w:r w:rsidRPr="00AA06A7">
        <w:t>NOUTĂȚI</w:t>
      </w:r>
      <w:r w:rsidR="00F45109" w:rsidRPr="00AA06A7">
        <w:t xml:space="preserve"> – </w:t>
      </w:r>
      <w:r w:rsidR="00F45109" w:rsidRPr="00A9160E">
        <w:rPr>
          <w:color w:val="639729"/>
        </w:rPr>
        <w:t>Informații UTILE</w:t>
      </w:r>
      <w:bookmarkEnd w:id="136"/>
    </w:p>
    <w:p w14:paraId="26A47D8E" w14:textId="77777777" w:rsidR="0002538C" w:rsidRPr="00E974B7" w:rsidRDefault="0002538C" w:rsidP="00E974B7">
      <w:pPr>
        <w:pStyle w:val="TitluArticolinINFOUE"/>
        <w:rPr>
          <w:lang w:eastAsia="ro-RO"/>
        </w:rPr>
      </w:pPr>
      <w:bookmarkStart w:id="137" w:name="_Toc106112239"/>
      <w:r w:rsidRPr="00E974B7">
        <w:t>În perioada 2021–2022, peste 28.000 de fermieri, procesatori, antreprenori și autorități publice au solicitat 2,37 de miliarde euro, fonduri europene, pentru agricultură și dezvoltare rurală</w:t>
      </w:r>
      <w:bookmarkEnd w:id="137"/>
    </w:p>
    <w:p w14:paraId="0FB621D8"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În perioada de tranziție 2021 – 2022, peste 28.000 de fermieri, procesatori, antreprenori și autorități publice au solicitat fonduri europene în valoare de 2,37 de miliarde de euro pentru agricultură și dezvoltare rurală, a transmis Agenția pentru Finanțarea Investițiilor Rurale vineri, 10 iunie 2022. </w:t>
      </w:r>
    </w:p>
    <w:p w14:paraId="593D1E3B"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Până în acest moment, Agenția pentru Finanțarea Investițiilor Rurale a selectat pentru finanțare 14.364 de proiecte de investiții, însumând 768,9 milioane de euro. Dintre acestea, AFIR încheiat 8.474 de contracte de finanțare cu o valoare de 149,7 milioane de euro – procesul de contractare este în desfășurare. Pentru decontarea investițiilor sau achizițiilor realizate în cadrul proiectelor contractate, precum și pentru plățile compensatorii acordate fermierilor prin Agenția de Plăti și Intervenție pentru Agricultură, AFIR a transferat în conturile beneficiarilor 433,8 milioane de euro.</w:t>
      </w:r>
    </w:p>
    <w:p w14:paraId="18BD9135"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Pentru procesarea produselor agricole și pomicole, AFIR a primit 322 de cereri în valoare de 209,8 milioane de euro, din care s-au selectat pentru finanțare 51 de proiecte, în valoare de 41,3 milioane de euro. Procesul de contractare este în derulare.</w:t>
      </w:r>
    </w:p>
    <w:p w14:paraId="3B785494"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Sectorul neagricol a atras 5.968 de antreprenori care au depus la AFIR solicitări de finanțare a investițiilor din mediul rural de peste 504 milioane de euro. Având în vedere fondurile disponibile, au fost selectate până acum 648 de cereri de finanțare, în valoare de 60 de milioane de euro și au fost contractate 359 de proiecte de 20,2 milioane de euro. Plățile efectuate către beneficiarii acestor contracte sunt de 10,6 milioane de euro, până la această dată.</w:t>
      </w:r>
    </w:p>
    <w:p w14:paraId="12517FB2"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În vederea finanțării infrastructurii de acces agricolă, autoritățile publice au solicitat fonduri în valoare de 156,4 milioane de euro, prin intermediul celor 161 de cereri de finanțare depuse. Dintre acestea, AFIR a selectat 59 de proiecte care însumează 55,1 milioane de euro și a încheiat 47 de contracte de finanțare pentru drumuri agricole, în valoare de 44,2 milioane de euro. Plățile efectuate pentru infrastructura agricolă sunt, la acest moment, de 4,4 milioane de euro.</w:t>
      </w:r>
    </w:p>
    <w:p w14:paraId="5B9C7F8B"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lastRenderedPageBreak/>
        <w:t>AFIR precizează că, până la demararea Programului Național Strategic 2023 – 2027 (PNS), fondurile disponibile pe durata perioadei de tranziție 2021 – 2022 se ridică la 3,26 miliarde de euro, din care 2,57 miliarde reprezintă contribuția Fondului European Agricol pentru Dezvoltare Rurală (FEADR) și 692 milioane de euro sunt fonduri provenite din Instrumentul de Redresare al Uniunii Europene (EURI).</w:t>
      </w:r>
    </w:p>
    <w:p w14:paraId="1DD5D3F6" w14:textId="77777777" w:rsidR="0002538C" w:rsidRPr="00E974B7" w:rsidRDefault="0002538C" w:rsidP="00E974B7">
      <w:pPr>
        <w:pStyle w:val="Stilsursa"/>
      </w:pPr>
      <w:r w:rsidRPr="00E974B7">
        <w:t>Sursa: AFIR </w:t>
      </w:r>
    </w:p>
    <w:p w14:paraId="02266527" w14:textId="2F313D64" w:rsidR="0002538C" w:rsidRPr="00E974B7" w:rsidRDefault="0002538C" w:rsidP="00E974B7">
      <w:pPr>
        <w:pStyle w:val="separatorarticole"/>
      </w:pPr>
      <w:r w:rsidRPr="00E974B7">
        <w:t>*</w:t>
      </w:r>
    </w:p>
    <w:p w14:paraId="3415C8DF" w14:textId="77777777" w:rsidR="0002538C" w:rsidRPr="00E974B7" w:rsidRDefault="0002538C" w:rsidP="00E974B7">
      <w:pPr>
        <w:pStyle w:val="TitluArticolinINFOUE"/>
        <w:rPr>
          <w:lang w:eastAsia="ro-RO"/>
        </w:rPr>
      </w:pPr>
      <w:bookmarkStart w:id="138" w:name="_Toc106112240"/>
      <w:r w:rsidRPr="00E974B7">
        <w:t>POR: 6,2 milioane de lei pentru un centru de resurse comunitare în municipiul Vulcan</w:t>
      </w:r>
      <w:bookmarkEnd w:id="138"/>
    </w:p>
    <w:p w14:paraId="0AA27B33"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Municipiul Vulcan va avea un centru de resurse comunitare de care vor beneficia peste 800 de persoane din zone marginalizate din localitate. Asta, printr-un proiect ce va fi implementat în cadrul Programului Operațional Regional 2014-2020 și al cărui contract de finanțare a fost semnat în această săptămână de reprezentanții municipalității din Valea Jiului și cei ai Agenției pentru Dezvoltare Regională Vest.</w:t>
      </w:r>
    </w:p>
    <w:p w14:paraId="165D0402"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Viitorul centru va avea trei niveluri și va fi structurat astfel: la parter vor fi trei săli pentru diferite activități, trei camere pentru depozitare, un birou administrativ, un vestiar, patru grupuri sanitare, un cabinet de consiliere, centrala termică, filtru scară, trei vestibule exterioare; la etajul 1 se vor amenaja trei săli de activități, vestiare, două grupuri sanitare; iar la etajul 2 vor fi amenajate o bibliotecă, o sală de activitate informatică, un atelier și două grupuri sanitare.</w:t>
      </w:r>
    </w:p>
    <w:p w14:paraId="096F8836"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Tot prin acest proiect, centrul va fi dotat cu mobilier, tablete smart board, instrumente muzicale, sistem de sonorizare, computere, imprimante și masă de lectură.</w:t>
      </w:r>
    </w:p>
    <w:p w14:paraId="16C93E09"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Proiectul își propune reducerea numărului de persoane aflate în risc de sărăcie sau excluziune socială în zone urbane marginalizate total sau parțial pe teritoriul municipiului Vulcan, respectiv cetățenii din Crividia, Bloc C16, Colonia de Jos, Micro 3B/Dallas.</w:t>
      </w:r>
    </w:p>
    <w:p w14:paraId="415D9E82"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Viitorul centru va contribui la scăderea ratei abandonului școlar și îmbunătățirea situației copiilor aflați în situație de excluderea socială și marginalizare, prin activități extra-curriculare, școala după școală etc., pentru 80 de copii.</w:t>
      </w:r>
    </w:p>
    <w:p w14:paraId="3F96C6C1"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Totodată, centrul va veni în sprijinul a 740 de persoane marginalizate, oferindu-le servicii de calitate în cadrul centrului de resurse comunitare: servicii integrate pentru copii, tineri, adulți/ părinți (ex: servicii sociale, consiliere psihologică etc).</w:t>
      </w:r>
    </w:p>
    <w:p w14:paraId="1653B8AD"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Valoarea totală a proiectului este de 6,2 milioane de lei, dintre care 5,3 milioane reprezintă valoarea finanțării nerambursabile. Centrul ar trebui să fie dat în funcțiune până la finalul anului viitor.</w:t>
      </w:r>
    </w:p>
    <w:p w14:paraId="24E0812B" w14:textId="77777777" w:rsidR="0002538C" w:rsidRPr="00E974B7" w:rsidRDefault="0002538C"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Proiectul „Înființare Centru de resurse comunitare pentru persoane din comunități dezavantajate” va fi finanțat prin axa prioritară     9 –  Sprijinirea regenerării economice și sociale a comunităților defavorizate din mediul urban; Prioritatea de investiții 9.1 –  Dezvoltare locală plasată sub responsabilitatea comunităţii.</w:t>
      </w:r>
    </w:p>
    <w:p w14:paraId="53C80A90" w14:textId="77777777" w:rsidR="0002538C" w:rsidRPr="00E974B7" w:rsidRDefault="0002538C" w:rsidP="00E974B7">
      <w:pPr>
        <w:pStyle w:val="Stilsursa"/>
      </w:pPr>
      <w:r w:rsidRPr="00E974B7">
        <w:t>Sursa: ADR Vest</w:t>
      </w:r>
    </w:p>
    <w:p w14:paraId="19ADF0AE" w14:textId="3C4A1C24" w:rsidR="0002538C" w:rsidRPr="00E974B7" w:rsidRDefault="0002538C" w:rsidP="00E974B7">
      <w:pPr>
        <w:pStyle w:val="separatorarticole"/>
      </w:pPr>
      <w:r w:rsidRPr="00E974B7">
        <w:t>*</w:t>
      </w:r>
    </w:p>
    <w:p w14:paraId="1FEA6559" w14:textId="77777777" w:rsidR="00C1486F" w:rsidRPr="00E974B7" w:rsidRDefault="00C1486F" w:rsidP="00E974B7">
      <w:pPr>
        <w:pStyle w:val="TitluArticolinINFOUE"/>
        <w:rPr>
          <w:lang w:eastAsia="ro-RO"/>
        </w:rPr>
      </w:pPr>
      <w:bookmarkStart w:id="139" w:name="_Toc106112241"/>
      <w:r w:rsidRPr="00E974B7">
        <w:t>POIM: Modificări la metodologia referitoare la garanțiile de bună execuție constituite în cadrul contractelor de achiziție publică ale contractelor sectoriale</w:t>
      </w:r>
      <w:bookmarkEnd w:id="139"/>
    </w:p>
    <w:p w14:paraId="4B293F7D" w14:textId="77777777" w:rsidR="00C1486F" w:rsidRPr="00E974B7" w:rsidRDefault="00C1486F"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AM POIM a publicat astăzi, 9 iunie 2022, Instrucțiunea nr. 6/2022 privind modificarea Metodologiei privind aplicarea unor prevederi ale OUG nr.19/2022 privind unele măsuri referitoare la garanțiile de bună execuție constituite în cadrul contractelor de achiziție publică ale contractelor sectoriale.</w:t>
      </w:r>
    </w:p>
    <w:p w14:paraId="08756991" w14:textId="77777777" w:rsidR="00C1486F" w:rsidRPr="00E974B7" w:rsidRDefault="00C1486F" w:rsidP="00E974B7">
      <w:pPr>
        <w:pStyle w:val="NormalWeb"/>
        <w:spacing w:before="120" w:beforeAutospacing="0" w:after="0" w:afterAutospacing="0"/>
        <w:rPr>
          <w:rFonts w:ascii="Verdana" w:hAnsi="Verdana"/>
          <w:color w:val="313131"/>
          <w:sz w:val="18"/>
          <w:szCs w:val="18"/>
        </w:rPr>
      </w:pPr>
      <w:r w:rsidRPr="00E974B7">
        <w:rPr>
          <w:rFonts w:ascii="Verdana" w:hAnsi="Verdana"/>
          <w:color w:val="313131"/>
          <w:sz w:val="18"/>
          <w:szCs w:val="18"/>
        </w:rPr>
        <w:t>Scopul metodologiei este de a furniza autorităților / entităților contractante ce au calitatea de beneficiari ai proiectelor finanțate în cadrul Axelor 1 - 2 din Programul Operațional Infrastructură Mare 2014-2020 (POIM) clarificări cu privire la aplicarea unor prevederi ale OUG nr. 19/2022 privind unele măsuri referitoare la garanțiile de bună execuție constituie în cadrul contractelor de achiziție publică și al contractelor sectoriale, în cadrul Axelor 1-2 din POIM 2014-2020. </w:t>
      </w:r>
    </w:p>
    <w:p w14:paraId="1B5F9A46" w14:textId="77777777" w:rsidR="00C1486F" w:rsidRPr="00E974B7" w:rsidRDefault="00C1486F" w:rsidP="00E974B7">
      <w:pPr>
        <w:pStyle w:val="NormalWeb"/>
        <w:spacing w:before="120" w:beforeAutospacing="0" w:after="0" w:afterAutospacing="0"/>
        <w:rPr>
          <w:rFonts w:ascii="Verdana" w:hAnsi="Verdana"/>
          <w:color w:val="313131"/>
          <w:sz w:val="18"/>
          <w:szCs w:val="18"/>
        </w:rPr>
      </w:pPr>
      <w:hyperlink r:id="rId17" w:tgtFrame="_blank" w:history="1">
        <w:r w:rsidRPr="00E974B7">
          <w:rPr>
            <w:rStyle w:val="Emphasis"/>
            <w:b/>
            <w:bCs/>
            <w:color w:val="0000FF"/>
            <w:u w:val="single"/>
          </w:rPr>
          <w:t>Descarcă</w:t>
        </w:r>
      </w:hyperlink>
      <w:r w:rsidRPr="00E974B7">
        <w:rPr>
          <w:rFonts w:ascii="Verdana" w:hAnsi="Verdana"/>
          <w:color w:val="313131"/>
          <w:sz w:val="18"/>
          <w:szCs w:val="18"/>
        </w:rPr>
        <w:t> Instrucțiunea</w:t>
      </w:r>
    </w:p>
    <w:p w14:paraId="3DAE248E" w14:textId="77777777" w:rsidR="00C1486F" w:rsidRPr="00E974B7" w:rsidRDefault="00C1486F" w:rsidP="00E974B7">
      <w:pPr>
        <w:pStyle w:val="Stilsursa"/>
      </w:pPr>
      <w:r w:rsidRPr="00E974B7">
        <w:t>Sursa: MIPE</w:t>
      </w:r>
    </w:p>
    <w:p w14:paraId="1BEF6249" w14:textId="5CBD2D1B" w:rsidR="00C1486F" w:rsidRPr="00E974B7" w:rsidRDefault="00C1486F" w:rsidP="00E974B7">
      <w:pPr>
        <w:pStyle w:val="separatorarticole"/>
      </w:pPr>
      <w:r w:rsidRPr="00E974B7">
        <w:t>*</w:t>
      </w:r>
    </w:p>
    <w:p w14:paraId="0F628228" w14:textId="77777777" w:rsidR="000C58A2" w:rsidRPr="00B74142" w:rsidRDefault="000C58A2" w:rsidP="009840C9">
      <w:pPr>
        <w:pStyle w:val="TitluArticolinINFOUE"/>
        <w:rPr>
          <w:lang w:eastAsia="ro-RO"/>
        </w:rPr>
      </w:pPr>
      <w:bookmarkStart w:id="140" w:name="_Toc106112242"/>
      <w:r w:rsidRPr="00B74142">
        <w:lastRenderedPageBreak/>
        <w:t>185,6 miliarde de euro, propunerea Comisiei Europene pentru buget anual al UE pe 2023</w:t>
      </w:r>
      <w:bookmarkEnd w:id="140"/>
    </w:p>
    <w:p w14:paraId="02F7C184" w14:textId="77777777" w:rsidR="000C58A2" w:rsidRPr="00B74142" w:rsidRDefault="000C58A2"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Comisia Europeană a propus ieri, 7 iunie 2022, un buget anual al UE pe 2023 în valoare de 185,6 miliarde EUR, care va fi completat de granturi cu o valoare estimată de aproximativ 113,9 miliarde EUR din cadrul instrumentului NextGenerationEU. Bugetul UE va continua să mobilizeze investiții semnificative menite să consolideze autonomia strategică a Europei, să stimuleze redresarea economică în curs, să protejeze durabilitatea și să creeze locuri de muncă. Comisia va continua să acorde prioritate investițiilor din domeniile ecologic și informatic, răspunzând totodată nevoilor urgente generate de crizele recente și de crizele actuale.</w:t>
      </w:r>
    </w:p>
    <w:p w14:paraId="75C79474" w14:textId="77777777" w:rsidR="000C58A2" w:rsidRPr="00B74142" w:rsidRDefault="000C58A2"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Proiectul de buget pe 2023, consolidat de instrumentul NextGenerationEU, este conceput astfel încât să răspundă celor mai importante nevoi în materie de redresare ale statelor membre ale UE și ale partenerilor noștri din întreaga lume. Aceste mijloace financiare vor continua să reconstruiască și să modernizeze Uniunea Europeană și să consolideze statutul Europei de actor puternic pe scena internațională și de partener de încredere.</w:t>
      </w:r>
    </w:p>
    <w:p w14:paraId="04972C7E" w14:textId="77777777" w:rsidR="000C58A2" w:rsidRPr="00B74142" w:rsidRDefault="000C58A2"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Propuneri suplimentare de finanțare care să răspundă nevoilor generate de impactul războiului din Ucraina, atât pe plan extern, cât și pe plan intern, vor fi prezentate în cursul anului, pe baza unei evaluări mai precise a acestor nevoi, astfel cum se prevede în concluziile Consiliului European din 31 mai 2022.</w:t>
      </w:r>
    </w:p>
    <w:p w14:paraId="36929C0A" w14:textId="77777777" w:rsidR="000C58A2" w:rsidRPr="00B74142" w:rsidRDefault="000C58A2"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Bugetul reflectă prioritățile politice ale UE, care sunt esențiale pentru a asigura o redresare durabilă și pentru a consolida reziliența Europei. În acest scop, </w:t>
      </w:r>
      <w:r w:rsidRPr="00B74142">
        <w:rPr>
          <w:rStyle w:val="Strong"/>
          <w:color w:val="313131"/>
        </w:rPr>
        <w:t>Comisia propune alocarea următoarelor sume (ca angajamente)</w:t>
      </w:r>
      <w:r w:rsidRPr="00B74142">
        <w:rPr>
          <w:rFonts w:ascii="Verdana" w:hAnsi="Verdana"/>
          <w:color w:val="313131"/>
          <w:sz w:val="18"/>
          <w:szCs w:val="18"/>
        </w:rPr>
        <w:t>:</w:t>
      </w:r>
    </w:p>
    <w:p w14:paraId="3179034D" w14:textId="77777777" w:rsidR="000C58A2" w:rsidRPr="00B74142" w:rsidRDefault="000C58A2" w:rsidP="00CF784D">
      <w:pPr>
        <w:numPr>
          <w:ilvl w:val="0"/>
          <w:numId w:val="25"/>
        </w:numPr>
        <w:rPr>
          <w:color w:val="313131"/>
          <w:szCs w:val="18"/>
        </w:rPr>
      </w:pPr>
      <w:r w:rsidRPr="00B74142">
        <w:rPr>
          <w:color w:val="313131"/>
          <w:szCs w:val="18"/>
        </w:rPr>
        <w:t>granturi în valoare de 103,5 miliarde EUR din instrumentul NextGenerationEU în cadrul Mecanismului de redresare și reziliență (MRR) pentru a sprijini redresarea economică și creșterea în urma pandemiei de COVID-19 și pentru a face față provocărilor generate de războiul din Ucraina;</w:t>
      </w:r>
    </w:p>
    <w:p w14:paraId="0A806862" w14:textId="77777777" w:rsidR="000C58A2" w:rsidRPr="00B74142" w:rsidRDefault="000C58A2" w:rsidP="00CF784D">
      <w:pPr>
        <w:numPr>
          <w:ilvl w:val="0"/>
          <w:numId w:val="25"/>
        </w:numPr>
        <w:rPr>
          <w:color w:val="313131"/>
          <w:szCs w:val="18"/>
        </w:rPr>
      </w:pPr>
      <w:r w:rsidRPr="00B74142">
        <w:rPr>
          <w:color w:val="313131"/>
          <w:szCs w:val="18"/>
        </w:rPr>
        <w:t>53,6 miliarde EUR pentru politica agricolă comună și 1,1 miliarde EUR pentru Fondul european pentru pescuit și afaceri maritime, pentru fermierii și pescarii din Europa, dar și pentru consolidarea rezilienței sectorului agroalimentar și a sectorului pescuitului și pentru asigurarea mijloacelor necesare în vederea gestionării crizelor, ținând seama de penuria de alimente preconizată la nivel mondial;</w:t>
      </w:r>
    </w:p>
    <w:p w14:paraId="7B312F0C" w14:textId="77777777" w:rsidR="000C58A2" w:rsidRPr="00B74142" w:rsidRDefault="000C58A2" w:rsidP="00CF784D">
      <w:pPr>
        <w:numPr>
          <w:ilvl w:val="0"/>
          <w:numId w:val="25"/>
        </w:numPr>
        <w:rPr>
          <w:color w:val="313131"/>
          <w:szCs w:val="18"/>
        </w:rPr>
      </w:pPr>
      <w:r w:rsidRPr="00B74142">
        <w:rPr>
          <w:color w:val="313131"/>
          <w:szCs w:val="18"/>
        </w:rPr>
        <w:t>46,1 miliarde EUR pentru dezvoltarea regională și coeziune, cu scopul de a promova coeziunea economică, socială și teritorială, precum și infrastructura care sprijină tranziția verde și proiectele prioritare ale Uniunii;</w:t>
      </w:r>
    </w:p>
    <w:p w14:paraId="28E6C916" w14:textId="77777777" w:rsidR="000C58A2" w:rsidRPr="00B74142" w:rsidRDefault="000C58A2" w:rsidP="00CF784D">
      <w:pPr>
        <w:numPr>
          <w:ilvl w:val="0"/>
          <w:numId w:val="25"/>
        </w:numPr>
        <w:rPr>
          <w:color w:val="313131"/>
          <w:szCs w:val="18"/>
        </w:rPr>
      </w:pPr>
      <w:r w:rsidRPr="00B74142">
        <w:rPr>
          <w:color w:val="313131"/>
          <w:szCs w:val="18"/>
        </w:rPr>
        <w:t>14,3 miliarde EUR pentru sprijinirea partenerilor noștri și a intereselor noastre pe scena mondială, din care 12 miliarde EUR în cadrul Instrumentului de vecinătate, cooperare pentru dezvoltare și cooperare internațională – Europa globală (IVCDCI – Europa globală), 2,5 miliarde EUR pentru Instrumentul de asistență pentru preaderare (IPA III) și 1,6 miliarde EUR pentru ajutor umanitar (HUMA);</w:t>
      </w:r>
    </w:p>
    <w:p w14:paraId="38BD0FDC" w14:textId="77777777" w:rsidR="000C58A2" w:rsidRPr="00B74142" w:rsidRDefault="000C58A2" w:rsidP="00CF784D">
      <w:pPr>
        <w:numPr>
          <w:ilvl w:val="0"/>
          <w:numId w:val="25"/>
        </w:numPr>
        <w:rPr>
          <w:color w:val="313131"/>
          <w:szCs w:val="18"/>
        </w:rPr>
      </w:pPr>
      <w:r w:rsidRPr="00B74142">
        <w:rPr>
          <w:color w:val="313131"/>
          <w:szCs w:val="18"/>
        </w:rPr>
        <w:t>13,6 miliarde EUR pentru cercetare și inovare, din care 12,3 miliarde EUR pentru programul emblematic al Uniunii în domeniul cercetării – Orizont Europa. Acesta ar urma să primească încă 1,8 miliarde EUR sub formă de granturi din instrumentul NextGenerationEU;</w:t>
      </w:r>
    </w:p>
    <w:p w14:paraId="48162D9C" w14:textId="77777777" w:rsidR="000C58A2" w:rsidRPr="00B74142" w:rsidRDefault="000C58A2" w:rsidP="00CF784D">
      <w:pPr>
        <w:numPr>
          <w:ilvl w:val="0"/>
          <w:numId w:val="25"/>
        </w:numPr>
        <w:rPr>
          <w:color w:val="313131"/>
          <w:szCs w:val="18"/>
        </w:rPr>
      </w:pPr>
      <w:r w:rsidRPr="00B74142">
        <w:rPr>
          <w:color w:val="313131"/>
          <w:szCs w:val="18"/>
        </w:rPr>
        <w:t>4,8 miliarde EUR pentru investiții strategice europene, din care 341 de milioane EUR pentru InvestEU în vederea realizării priorităților-cheie (cercetarea și inovarea, dubla tranziție verde și digitală, sectorul sănătății și tehnologiile strategice), 2,9 miliarde EUR pentru Mecanismul pentru interconectarea Europei în vederea îmbunătățirii infrastructurii transfrontaliere și 1,3 miliarde EUR pentru programul „Europa digitală” în vederea conturării viitorului digital al Uniunii. InvestEU ar urma să primească încă 2,5 miliarde EUR sub formă de granturi din instrumentul NextGenerationEU;</w:t>
      </w:r>
    </w:p>
    <w:p w14:paraId="15E0867A" w14:textId="77777777" w:rsidR="000C58A2" w:rsidRPr="00B74142" w:rsidRDefault="000C58A2" w:rsidP="00CF784D">
      <w:pPr>
        <w:numPr>
          <w:ilvl w:val="0"/>
          <w:numId w:val="25"/>
        </w:numPr>
        <w:rPr>
          <w:color w:val="313131"/>
          <w:szCs w:val="18"/>
        </w:rPr>
      </w:pPr>
      <w:r w:rsidRPr="00B74142">
        <w:rPr>
          <w:color w:val="313131"/>
          <w:szCs w:val="18"/>
        </w:rPr>
        <w:t xml:space="preserve">4,8 miliarde EUR pentru componenta „Capitalul uman, coeziune socială și valori”, din care 3,5 miliarde EUR pentru programul Erasmus+ în vederea creării de oportunități în materie de educație și mobilitate pentru cetățeni, 325 de milioane EUR pentru sprijinirea artiștilor și a </w:t>
      </w:r>
      <w:r w:rsidRPr="00B74142">
        <w:rPr>
          <w:color w:val="313131"/>
          <w:szCs w:val="18"/>
        </w:rPr>
        <w:lastRenderedPageBreak/>
        <w:t>creatorilor din întreaga Europă și 212 milioane EUR pentru promovarea justiției, a drepturilor și a valorilor;</w:t>
      </w:r>
    </w:p>
    <w:p w14:paraId="6193B0C3" w14:textId="77777777" w:rsidR="000C58A2" w:rsidRPr="00B74142" w:rsidRDefault="000C58A2" w:rsidP="00CF784D">
      <w:pPr>
        <w:numPr>
          <w:ilvl w:val="0"/>
          <w:numId w:val="25"/>
        </w:numPr>
        <w:rPr>
          <w:color w:val="313131"/>
          <w:szCs w:val="18"/>
        </w:rPr>
      </w:pPr>
      <w:r w:rsidRPr="00B74142">
        <w:rPr>
          <w:color w:val="313131"/>
          <w:szCs w:val="18"/>
        </w:rPr>
        <w:t>2,3 miliarde EUR pentru mediu și politici climatice, din care 728 de milioane EUR pentru programul LIFE în vederea sprijinirii atenuării schimbărilor climatice și adaptării la acestea, și 1,5 miliarde EUR pentru Fondul pentru o tranziție justă, în vederea asigurării faptului că tranziția verde aduce beneficii tuturor. Fondul pentru o tranziție justă ar urma să primească încă 5,4 miliarde EUR sub formă de granturi din instrumentul NextGenerationEU;</w:t>
      </w:r>
    </w:p>
    <w:p w14:paraId="79F11CC0" w14:textId="77777777" w:rsidR="000C58A2" w:rsidRPr="00B74142" w:rsidRDefault="000C58A2" w:rsidP="00CF784D">
      <w:pPr>
        <w:numPr>
          <w:ilvl w:val="0"/>
          <w:numId w:val="25"/>
        </w:numPr>
        <w:rPr>
          <w:color w:val="313131"/>
          <w:szCs w:val="18"/>
        </w:rPr>
      </w:pPr>
      <w:r w:rsidRPr="00B74142">
        <w:rPr>
          <w:color w:val="313131"/>
          <w:szCs w:val="18"/>
        </w:rPr>
        <w:t>2,2 miliarde EUR pentru cheltuieli destinate spațiului, în special pentru Programul spațial european, în cadrul căruia vor fi reunite acțiunile Uniunii în acest domeniu strategic;</w:t>
      </w:r>
    </w:p>
    <w:p w14:paraId="31E8F1E1" w14:textId="77777777" w:rsidR="000C58A2" w:rsidRPr="00B74142" w:rsidRDefault="000C58A2" w:rsidP="00CF784D">
      <w:pPr>
        <w:numPr>
          <w:ilvl w:val="0"/>
          <w:numId w:val="25"/>
        </w:numPr>
        <w:rPr>
          <w:color w:val="313131"/>
          <w:szCs w:val="18"/>
        </w:rPr>
      </w:pPr>
      <w:r w:rsidRPr="00B74142">
        <w:rPr>
          <w:color w:val="313131"/>
          <w:szCs w:val="18"/>
        </w:rPr>
        <w:t>2,1 miliarde EUR pentru protejarea frontierelor noastre, din care 1,1 miliarde EUR pentru Fondul de management integrat al frontierelor și 839 de milioane EUR (contribuția totală a UE) pentru Agenția Europeană pentru Poliția de Frontieră și Garda de Coastă (Frontex);</w:t>
      </w:r>
    </w:p>
    <w:p w14:paraId="50940F97" w14:textId="77777777" w:rsidR="000C58A2" w:rsidRPr="00B74142" w:rsidRDefault="000C58A2" w:rsidP="00CF784D">
      <w:pPr>
        <w:numPr>
          <w:ilvl w:val="0"/>
          <w:numId w:val="25"/>
        </w:numPr>
        <w:rPr>
          <w:color w:val="313131"/>
          <w:szCs w:val="18"/>
        </w:rPr>
      </w:pPr>
      <w:r w:rsidRPr="00B74142">
        <w:rPr>
          <w:color w:val="313131"/>
          <w:szCs w:val="18"/>
        </w:rPr>
        <w:t>1,6 miliarde EUR pentru cheltuielile legate de migrație, din care 1,4 miliarde EUR pentru sprijinirea migranților și a solicitanților de azil în conformitate cu valorile și prioritățile noastre;</w:t>
      </w:r>
    </w:p>
    <w:p w14:paraId="5B26FF4D" w14:textId="77777777" w:rsidR="000C58A2" w:rsidRPr="00B74142" w:rsidRDefault="000C58A2" w:rsidP="00CF784D">
      <w:pPr>
        <w:numPr>
          <w:ilvl w:val="0"/>
          <w:numId w:val="25"/>
        </w:numPr>
        <w:rPr>
          <w:color w:val="313131"/>
          <w:szCs w:val="18"/>
        </w:rPr>
      </w:pPr>
      <w:r w:rsidRPr="00B74142">
        <w:rPr>
          <w:color w:val="313131"/>
          <w:szCs w:val="18"/>
        </w:rPr>
        <w:t>1,2 miliarde EUR pentru abordarea provocărilor în materie de apărare, din care 626 de milioane EUR pentru sprijinirea dezvoltării capabilităților și a cercetării în cadrul Fondului european de apărare (FEA), precum și 237 de milioane EUR pentru sprijinirea mobilității militare;</w:t>
      </w:r>
    </w:p>
    <w:p w14:paraId="021D18F3" w14:textId="77777777" w:rsidR="000C58A2" w:rsidRPr="00B74142" w:rsidRDefault="000C58A2" w:rsidP="00CF784D">
      <w:pPr>
        <w:numPr>
          <w:ilvl w:val="0"/>
          <w:numId w:val="25"/>
        </w:numPr>
        <w:rPr>
          <w:color w:val="313131"/>
          <w:szCs w:val="18"/>
        </w:rPr>
      </w:pPr>
      <w:r w:rsidRPr="00B74142">
        <w:rPr>
          <w:color w:val="313131"/>
          <w:szCs w:val="18"/>
        </w:rPr>
        <w:t>927 de milioane EUR pentru a asigura buna funcționare a pieței unice, inclusiv 593 de milioane EUR pentru Programul privind piața unică și aproape 200 de milioane EUR pentru activități legate de combaterea fraudei, fiscalitate și vamă;</w:t>
      </w:r>
    </w:p>
    <w:p w14:paraId="3152CBF0" w14:textId="77777777" w:rsidR="000C58A2" w:rsidRPr="00B74142" w:rsidRDefault="000C58A2" w:rsidP="00CF784D">
      <w:pPr>
        <w:numPr>
          <w:ilvl w:val="0"/>
          <w:numId w:val="25"/>
        </w:numPr>
        <w:rPr>
          <w:color w:val="313131"/>
          <w:szCs w:val="18"/>
        </w:rPr>
      </w:pPr>
      <w:r w:rsidRPr="00B74142">
        <w:rPr>
          <w:color w:val="313131"/>
          <w:szCs w:val="18"/>
        </w:rPr>
        <w:t>732 de milioane EUR pentru Programul „UE pentru sănătate” în vederea asigurării unui răspuns cuprinzător în materie de sănătate la nevoile cetățenilor, precum și 147 de milioane EUR pentru mecanismul de protecție civilă al Uniunii (rescEU), astfel încât acesta să poată furniza rapid asistență operațională în caz de criză;</w:t>
      </w:r>
    </w:p>
    <w:p w14:paraId="50668FBA" w14:textId="77777777" w:rsidR="000C58A2" w:rsidRPr="00B74142" w:rsidRDefault="000C58A2" w:rsidP="00CF784D">
      <w:pPr>
        <w:numPr>
          <w:ilvl w:val="0"/>
          <w:numId w:val="25"/>
        </w:numPr>
        <w:rPr>
          <w:color w:val="313131"/>
          <w:szCs w:val="18"/>
        </w:rPr>
      </w:pPr>
      <w:r w:rsidRPr="00B74142">
        <w:rPr>
          <w:color w:val="313131"/>
          <w:szCs w:val="18"/>
        </w:rPr>
        <w:t>689 de milioane EUR pentru securitate, din care 310 milioane EUR pentru Fondul pentru securitate internă (FSI), care va combate terorismul, radicalizarea, criminalitatea organizată și criminalitatea informatică;</w:t>
      </w:r>
    </w:p>
    <w:p w14:paraId="09A4C5BD" w14:textId="77777777" w:rsidR="000C58A2" w:rsidRPr="00B74142" w:rsidRDefault="000C58A2" w:rsidP="00CF784D">
      <w:pPr>
        <w:numPr>
          <w:ilvl w:val="0"/>
          <w:numId w:val="25"/>
        </w:numPr>
        <w:rPr>
          <w:color w:val="313131"/>
          <w:szCs w:val="18"/>
        </w:rPr>
      </w:pPr>
      <w:r w:rsidRPr="00B74142">
        <w:rPr>
          <w:color w:val="313131"/>
          <w:szCs w:val="18"/>
        </w:rPr>
        <w:t>138 de milioane EUR pentru conexiuni securizate prin satelit, în temeiul propunerii de instituire a unui nou program al Uniunii – Programul Uniunii privind conectivitatea securizată;</w:t>
      </w:r>
    </w:p>
    <w:p w14:paraId="11429E1B" w14:textId="77777777" w:rsidR="000C58A2" w:rsidRPr="00B74142" w:rsidRDefault="000C58A2" w:rsidP="00CF784D">
      <w:pPr>
        <w:numPr>
          <w:ilvl w:val="0"/>
          <w:numId w:val="25"/>
        </w:numPr>
        <w:rPr>
          <w:color w:val="313131"/>
          <w:szCs w:val="18"/>
        </w:rPr>
      </w:pPr>
      <w:r w:rsidRPr="00B74142">
        <w:rPr>
          <w:color w:val="313131"/>
          <w:szCs w:val="18"/>
        </w:rPr>
        <w:t>mijloacele bugetare necesare Actului legislativ european privind cipurile vor fi puse la dispoziție în cadrul programului Orizont Europa și prin realocarea sumelor aferente altor programe.</w:t>
      </w:r>
    </w:p>
    <w:p w14:paraId="43B83F5C" w14:textId="77777777" w:rsidR="000C58A2" w:rsidRPr="00B74142" w:rsidRDefault="000C58A2"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Proiectul de buget pe 2023 face parte din bugetul pe termen lung al Uniunii, astfel cum a fost adoptat de șefii de stat sau de guvern la sfârșitul anului 2020, inclusiv ajustările tehnice ulterioare, urmărește să transforme prioritățile acestuia în rezultate anuale concrete. Prin urmare, o parte semnificativă a fondurilor va fi alocată combaterii schimbărilor climatice, în conformitate cu obiectivul cheltuirii unui procent de 30 % din bugetul pe termen lung și din instrumentul de redresare NextGenerationEU pentru această prioritate de politică.</w:t>
      </w:r>
    </w:p>
    <w:p w14:paraId="0E638630" w14:textId="77777777" w:rsidR="000C58A2" w:rsidRPr="00B74142" w:rsidRDefault="000C58A2" w:rsidP="009840C9">
      <w:pPr>
        <w:pStyle w:val="Stilsursa"/>
      </w:pPr>
      <w:r w:rsidRPr="00B74142">
        <w:t>Sursa: Comisia Europeană</w:t>
      </w:r>
    </w:p>
    <w:p w14:paraId="4DF0C4B6" w14:textId="1B1FAA25" w:rsidR="000C58A2" w:rsidRPr="00B74142" w:rsidRDefault="000C58A2" w:rsidP="009840C9">
      <w:pPr>
        <w:pStyle w:val="separatorarticole"/>
      </w:pPr>
      <w:r w:rsidRPr="00B74142">
        <w:t>*</w:t>
      </w:r>
    </w:p>
    <w:p w14:paraId="2D350D2B" w14:textId="77777777" w:rsidR="004F1430" w:rsidRPr="00B74142" w:rsidRDefault="004F1430" w:rsidP="009840C9">
      <w:pPr>
        <w:pStyle w:val="TitluArticolinINFOUE"/>
        <w:rPr>
          <w:lang w:eastAsia="ro-RO"/>
        </w:rPr>
      </w:pPr>
      <w:bookmarkStart w:id="141" w:name="_Toc106112243"/>
      <w:r w:rsidRPr="00B74142">
        <w:t>Undă verde din partea Comisiei Europene pentru programele IMM Prod și Garant Construct</w:t>
      </w:r>
      <w:bookmarkEnd w:id="141"/>
    </w:p>
    <w:p w14:paraId="276F57F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Schemele de ajutor de stat pentru IMM-uri și unități administrativ teritoriale - IMM PROD și GARANT CONSTRUCT, coordonate de Ministerul Finanțelor, au primit vineri, 3 iunie 2022, aprobarea Comisiei Europene. Programele se derulează prin Fondul Național de Garantare a Creditelor pentru Întreprinderile Mici și Mijlocii și au un plafon total al garanţiilor de 4 miliarde de lei.</w:t>
      </w:r>
    </w:p>
    <w:p w14:paraId="758ED57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w:t>
      </w:r>
      <w:r w:rsidRPr="00B74142">
        <w:rPr>
          <w:rStyle w:val="Emphasis"/>
          <w:color w:val="313131"/>
        </w:rPr>
        <w:t xml:space="preserve">Vești bune pentru beneficiarii eligibili ai celor două scheme de ajutor de stat. Acordul Comisiei Europene înseamnă practic că cele două programe au devenit operaționale și că de luni, 6 iunie, se pot adresa celor 21 de bănci partenere pentru a solicita finanțare. Este un sprijin real pe care Guvernul îl acordă </w:t>
      </w:r>
      <w:r w:rsidRPr="00B74142">
        <w:rPr>
          <w:rStyle w:val="Emphasis"/>
          <w:color w:val="313131"/>
        </w:rPr>
        <w:lastRenderedPageBreak/>
        <w:t>atât mediului de afaceri, cât și unităților administrativ teritoriale pentru încurajarea producției autohtone și a investițiilo</w:t>
      </w:r>
      <w:r w:rsidRPr="00B74142">
        <w:rPr>
          <w:rFonts w:ascii="Verdana" w:hAnsi="Verdana"/>
          <w:color w:val="313131"/>
          <w:sz w:val="18"/>
          <w:szCs w:val="18"/>
        </w:rPr>
        <w:t>r" a anunțat ministrul Finanțelor, Adrian Câciu.</w:t>
      </w:r>
    </w:p>
    <w:p w14:paraId="03A0AA5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Style w:val="Strong"/>
          <w:color w:val="313131"/>
        </w:rPr>
        <w:t>Programul IMM PROD </w:t>
      </w:r>
      <w:r w:rsidRPr="00B74142">
        <w:rPr>
          <w:rFonts w:ascii="Verdana" w:hAnsi="Verdana"/>
          <w:color w:val="313131"/>
          <w:sz w:val="18"/>
          <w:szCs w:val="18"/>
        </w:rPr>
        <w:t>are ca obiectiv acordarea de garanții guvernamentale de până la 90% din valoarea finanțărilor pentru asigurarea lichidităților și pentru investițiile care încurajează producția autohtonă, creșterea capacității de producție, reconversia de la intermediere la producție, digitalizarea activității și alinierea la obiectivele de mediu.</w:t>
      </w:r>
    </w:p>
    <w:p w14:paraId="45B3EA14"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u w:val="single"/>
        </w:rPr>
        <w:t>Beneficiarii eligibili</w:t>
      </w:r>
      <w:r w:rsidRPr="00B74142">
        <w:rPr>
          <w:rFonts w:ascii="Verdana" w:hAnsi="Verdana"/>
          <w:color w:val="313131"/>
          <w:sz w:val="18"/>
          <w:szCs w:val="18"/>
        </w:rPr>
        <w:t> sunt IMM-uri, inclusiv start-up-uri, persoane fizice autorizate, întreprinderi individuale şi familiale, forme de organizare a profesiilor liberale care pot desfășura activități de producție și care au sediul principal sau secundar într-o zonă urbană.</w:t>
      </w:r>
    </w:p>
    <w:p w14:paraId="2227E1A0"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u w:val="single"/>
        </w:rPr>
        <w:t>Bugetul</w:t>
      </w:r>
      <w:r w:rsidRPr="00B74142">
        <w:rPr>
          <w:rFonts w:ascii="Verdana" w:hAnsi="Verdana"/>
          <w:color w:val="313131"/>
          <w:sz w:val="18"/>
          <w:szCs w:val="18"/>
        </w:rPr>
        <w:t> schemei de ajutor de stat aferent Programului IMM PROD este de 268.544.792 lei, aproximativ 54,25 milioane euro, iar plafonul total al garanţiilor care pot fi acordate în 2022 este de 1,5 miliarde lei.</w:t>
      </w:r>
    </w:p>
    <w:p w14:paraId="6F07813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Style w:val="Strong"/>
          <w:color w:val="313131"/>
        </w:rPr>
        <w:t>Programul GARANT CONSTRUCT</w:t>
      </w:r>
      <w:r w:rsidRPr="00B74142">
        <w:rPr>
          <w:rFonts w:ascii="Verdana" w:hAnsi="Verdana"/>
          <w:color w:val="313131"/>
          <w:sz w:val="18"/>
          <w:szCs w:val="18"/>
        </w:rPr>
        <w:t> are două componente - SubProgramul de susținere a proiectelor de investiții pentru IMM-urile din sectorul construcțiilor și SubProgramul de susținere a proiectelor de investiții la scară mică pentru UAT-uri, care presupun finanțarea unor activități din sectorul construcțiilor.</w:t>
      </w:r>
    </w:p>
    <w:p w14:paraId="0DF58090"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u w:val="single"/>
        </w:rPr>
        <w:t>Obiectivul principal</w:t>
      </w:r>
      <w:r w:rsidRPr="00B74142">
        <w:rPr>
          <w:rFonts w:ascii="Verdana" w:hAnsi="Verdana"/>
          <w:color w:val="313131"/>
          <w:sz w:val="18"/>
          <w:szCs w:val="18"/>
        </w:rPr>
        <w:t> al programului este susținerea proiectelor privind îmbunătăţirea eficienţei energetice, investiţii în domeniul energiei verzi şi alinierea la obiectivele de mediu implementate de IMM-urile din domeniul construcţiilor şi de unităţile administrativ-teritoriale, prin acordarea de garanții guvernamentale de maximum 90% din valoarea finanțărilor.</w:t>
      </w:r>
    </w:p>
    <w:p w14:paraId="1E51DCC5"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GARANT CONSTRUCT are un </w:t>
      </w:r>
      <w:r w:rsidRPr="00B74142">
        <w:rPr>
          <w:rFonts w:ascii="Verdana" w:hAnsi="Verdana"/>
          <w:color w:val="313131"/>
          <w:sz w:val="18"/>
          <w:szCs w:val="18"/>
          <w:u w:val="single"/>
        </w:rPr>
        <w:t>buget</w:t>
      </w:r>
      <w:r w:rsidRPr="00B74142">
        <w:rPr>
          <w:rFonts w:ascii="Verdana" w:hAnsi="Verdana"/>
          <w:color w:val="313131"/>
          <w:sz w:val="18"/>
          <w:szCs w:val="18"/>
        </w:rPr>
        <w:t> în valoare de 495.572.822 lei, aproximativ 99,11 milioane euro, cu un plafon total al garanţiilor pentru 2022 de 2,5 miliarde lei.</w:t>
      </w:r>
    </w:p>
    <w:p w14:paraId="458F3DD8"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Pentru 2022, plafonul total al garanţiilor de 2,5 miliarde lei, se împarte în mod egal între cele două componente.</w:t>
      </w:r>
    </w:p>
    <w:p w14:paraId="23445DDD"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Beneficiarii eligibili ai SubProgramului de susținere a proiectelor de investiții pentru IMM-urile din sectorul construcțiilor sunt IMM-uri, persoane fizice autorizate, întreprinderi individuale şi familiale, forme de organizare a profesiilor liberale, precum arhitecții și birourile individuale de arhitectură. SubProgramul de susținere a proiectelor de investiții la scară mică dedicat UAT-urilor, respectiv municipiilor, orașelor și comunelor are în vedere finanțarea unor activități din sectorul construcțiilor și a proiectelor de mică dimensiune.</w:t>
      </w:r>
    </w:p>
    <w:p w14:paraId="10D1AB53" w14:textId="77777777" w:rsidR="004F1430" w:rsidRPr="00B74142" w:rsidRDefault="004F1430" w:rsidP="009840C9">
      <w:pPr>
        <w:pStyle w:val="Stilsursa"/>
      </w:pPr>
      <w:r w:rsidRPr="00B74142">
        <w:t>Sursa: Ministerul Finanțelor </w:t>
      </w:r>
    </w:p>
    <w:p w14:paraId="4DC19D0B" w14:textId="56A63FEE" w:rsidR="004F1430" w:rsidRPr="00B74142" w:rsidRDefault="004F1430" w:rsidP="009840C9">
      <w:pPr>
        <w:pStyle w:val="separatorarticole"/>
      </w:pPr>
      <w:r w:rsidRPr="00B74142">
        <w:t>*</w:t>
      </w:r>
    </w:p>
    <w:p w14:paraId="104FE2F4" w14:textId="77777777" w:rsidR="004F1430" w:rsidRPr="00B74142" w:rsidRDefault="004F1430" w:rsidP="009840C9">
      <w:pPr>
        <w:pStyle w:val="TitluArticolinINFOUE"/>
        <w:rPr>
          <w:lang w:eastAsia="ro-RO"/>
        </w:rPr>
      </w:pPr>
      <w:bookmarkStart w:id="142" w:name="_Toc106112244"/>
      <w:r w:rsidRPr="00B74142">
        <w:t>Programul Operațional Transport 2021-2027, trimis spre aprobare Comisiei Europene</w:t>
      </w:r>
      <w:bookmarkEnd w:id="142"/>
    </w:p>
    <w:p w14:paraId="31E3BF1B"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Un nou program operațional aferent perioadei de programare 2021-2027 a fost transmis la 3 iunie 2022, Comisiei Europene spre aprobare, potrivit informațiilor publicate de Ministerul Investițiilor și Proiectelor Europene.</w:t>
      </w:r>
    </w:p>
    <w:p w14:paraId="09274BA6" w14:textId="77777777" w:rsidR="004F1430" w:rsidRPr="00B74142" w:rsidRDefault="00306065" w:rsidP="00B74142">
      <w:pPr>
        <w:pStyle w:val="NormalWeb"/>
        <w:spacing w:before="120" w:beforeAutospacing="0" w:after="0" w:afterAutospacing="0"/>
        <w:rPr>
          <w:rFonts w:ascii="Verdana" w:hAnsi="Verdana"/>
          <w:color w:val="313131"/>
          <w:sz w:val="18"/>
          <w:szCs w:val="18"/>
        </w:rPr>
      </w:pPr>
      <w:hyperlink r:id="rId18" w:tgtFrame="_blank" w:history="1">
        <w:r w:rsidR="004F1430" w:rsidRPr="00B74142">
          <w:rPr>
            <w:rStyle w:val="Emphasis"/>
            <w:b/>
            <w:bCs/>
            <w:color w:val="0000FF"/>
            <w:u w:val="single"/>
          </w:rPr>
          <w:t>Descarcă</w:t>
        </w:r>
      </w:hyperlink>
      <w:r w:rsidR="004F1430" w:rsidRPr="00B74142">
        <w:rPr>
          <w:rFonts w:ascii="Verdana" w:hAnsi="Verdana"/>
          <w:color w:val="313131"/>
          <w:sz w:val="18"/>
          <w:szCs w:val="18"/>
        </w:rPr>
        <w:t> varianta iunie 2022 a POT 2021-2027</w:t>
      </w:r>
    </w:p>
    <w:p w14:paraId="438DD4CE"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Astfel, POT se alătură programelor operaționale transmise CE în perioada mai - iunie 2022, respectiv:</w:t>
      </w:r>
    </w:p>
    <w:p w14:paraId="3329B0D6" w14:textId="77777777" w:rsidR="004F1430" w:rsidRPr="00B74142" w:rsidRDefault="004F1430" w:rsidP="00CF784D">
      <w:pPr>
        <w:numPr>
          <w:ilvl w:val="0"/>
          <w:numId w:val="18"/>
        </w:numPr>
        <w:rPr>
          <w:color w:val="313131"/>
          <w:szCs w:val="18"/>
        </w:rPr>
      </w:pPr>
      <w:r w:rsidRPr="00B74142">
        <w:rPr>
          <w:color w:val="313131"/>
          <w:szCs w:val="18"/>
        </w:rPr>
        <w:t>Programul Operațional Asistență Tehnică 2021-2027 – 6 mai 2022</w:t>
      </w:r>
    </w:p>
    <w:p w14:paraId="6171DEF4" w14:textId="77777777" w:rsidR="004F1430" w:rsidRPr="00B74142" w:rsidRDefault="004F1430" w:rsidP="00CF784D">
      <w:pPr>
        <w:numPr>
          <w:ilvl w:val="0"/>
          <w:numId w:val="18"/>
        </w:numPr>
        <w:rPr>
          <w:color w:val="313131"/>
          <w:szCs w:val="18"/>
        </w:rPr>
      </w:pPr>
      <w:r w:rsidRPr="00B74142">
        <w:rPr>
          <w:color w:val="313131"/>
          <w:szCs w:val="18"/>
        </w:rPr>
        <w:t>Programul Operațional Incluziune și Demnitate Socială – 31 mai 2022</w:t>
      </w:r>
    </w:p>
    <w:p w14:paraId="68830EFB"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u w:val="single"/>
        </w:rPr>
        <w:t>Programele Operaționale Regionale</w:t>
      </w:r>
    </w:p>
    <w:p w14:paraId="06E292F2" w14:textId="77777777" w:rsidR="004F1430" w:rsidRPr="00B74142" w:rsidRDefault="004F1430" w:rsidP="00CF784D">
      <w:pPr>
        <w:numPr>
          <w:ilvl w:val="0"/>
          <w:numId w:val="19"/>
        </w:numPr>
        <w:rPr>
          <w:color w:val="313131"/>
          <w:szCs w:val="18"/>
        </w:rPr>
      </w:pPr>
      <w:r w:rsidRPr="00B74142">
        <w:rPr>
          <w:color w:val="313131"/>
          <w:szCs w:val="18"/>
        </w:rPr>
        <w:t>Programul Operațional Regional Vest 2021-2027 – 18 mai 2022</w:t>
      </w:r>
    </w:p>
    <w:p w14:paraId="3D2C06A3" w14:textId="77777777" w:rsidR="004F1430" w:rsidRPr="00B74142" w:rsidRDefault="004F1430" w:rsidP="00CF784D">
      <w:pPr>
        <w:numPr>
          <w:ilvl w:val="0"/>
          <w:numId w:val="19"/>
        </w:numPr>
        <w:rPr>
          <w:color w:val="313131"/>
          <w:szCs w:val="18"/>
        </w:rPr>
      </w:pPr>
      <w:r w:rsidRPr="00B74142">
        <w:rPr>
          <w:color w:val="313131"/>
          <w:szCs w:val="18"/>
        </w:rPr>
        <w:t>Programul Operațional Regional Sud Muntenia 2021-2027 – 25 mai 2022</w:t>
      </w:r>
    </w:p>
    <w:p w14:paraId="5D0761F2" w14:textId="77777777" w:rsidR="004F1430" w:rsidRPr="00B74142" w:rsidRDefault="004F1430" w:rsidP="00CF784D">
      <w:pPr>
        <w:numPr>
          <w:ilvl w:val="0"/>
          <w:numId w:val="19"/>
        </w:numPr>
        <w:rPr>
          <w:color w:val="313131"/>
          <w:szCs w:val="18"/>
        </w:rPr>
      </w:pPr>
      <w:r w:rsidRPr="00B74142">
        <w:rPr>
          <w:color w:val="313131"/>
          <w:szCs w:val="18"/>
        </w:rPr>
        <w:t>Programul Operațional Regional Sud-Vest Oltenia 2021-2027 – 25 mai 2022</w:t>
      </w:r>
    </w:p>
    <w:p w14:paraId="7F456CBB" w14:textId="77777777" w:rsidR="004F1430" w:rsidRPr="00B74142" w:rsidRDefault="004F1430" w:rsidP="00CF784D">
      <w:pPr>
        <w:numPr>
          <w:ilvl w:val="0"/>
          <w:numId w:val="19"/>
        </w:numPr>
        <w:rPr>
          <w:color w:val="313131"/>
          <w:szCs w:val="18"/>
        </w:rPr>
      </w:pPr>
      <w:r w:rsidRPr="00B74142">
        <w:rPr>
          <w:color w:val="313131"/>
          <w:szCs w:val="18"/>
        </w:rPr>
        <w:t>Programul Operațional Regional Nord-Vest 2021-2027 – 26 mai 2022</w:t>
      </w:r>
    </w:p>
    <w:p w14:paraId="256950C0" w14:textId="77777777" w:rsidR="004F1430" w:rsidRPr="00B74142" w:rsidRDefault="004F1430" w:rsidP="00CF784D">
      <w:pPr>
        <w:numPr>
          <w:ilvl w:val="0"/>
          <w:numId w:val="19"/>
        </w:numPr>
        <w:rPr>
          <w:color w:val="313131"/>
          <w:szCs w:val="18"/>
        </w:rPr>
      </w:pPr>
      <w:r w:rsidRPr="00B74142">
        <w:rPr>
          <w:color w:val="313131"/>
          <w:szCs w:val="18"/>
        </w:rPr>
        <w:t>Programul Operațional Regional Nord-Est 2021-2027 – 30 mai 2022</w:t>
      </w:r>
    </w:p>
    <w:p w14:paraId="544B9151" w14:textId="77777777" w:rsidR="004F1430" w:rsidRPr="00B74142" w:rsidRDefault="004F1430" w:rsidP="00CF784D">
      <w:pPr>
        <w:numPr>
          <w:ilvl w:val="0"/>
          <w:numId w:val="19"/>
        </w:numPr>
        <w:rPr>
          <w:color w:val="313131"/>
          <w:szCs w:val="18"/>
        </w:rPr>
      </w:pPr>
      <w:r w:rsidRPr="00B74142">
        <w:rPr>
          <w:color w:val="313131"/>
          <w:szCs w:val="18"/>
        </w:rPr>
        <w:lastRenderedPageBreak/>
        <w:t>Programul Operațional Regional Sud-Est 2021-2027 – 30 mai 2022</w:t>
      </w:r>
    </w:p>
    <w:p w14:paraId="7212B9C6" w14:textId="77777777" w:rsidR="004F1430" w:rsidRPr="00B74142" w:rsidRDefault="004F1430" w:rsidP="00CF784D">
      <w:pPr>
        <w:numPr>
          <w:ilvl w:val="0"/>
          <w:numId w:val="19"/>
        </w:numPr>
        <w:rPr>
          <w:color w:val="313131"/>
          <w:szCs w:val="18"/>
        </w:rPr>
      </w:pPr>
      <w:r w:rsidRPr="00B74142">
        <w:rPr>
          <w:color w:val="313131"/>
          <w:szCs w:val="18"/>
        </w:rPr>
        <w:t>Programul Operațional Centru 2021 – 2027 – 30 mai 2022</w:t>
      </w:r>
    </w:p>
    <w:p w14:paraId="536DC99B"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Reamintim că România va gestiona în perioada 2021-2027, 15 programe operaționale, 8 dintre acestea fiind destinate fiecărei regiuni de dezvoltare. Celelalte 7 PO sunt:</w:t>
      </w:r>
    </w:p>
    <w:p w14:paraId="35DC0FB5" w14:textId="77777777" w:rsidR="004F1430" w:rsidRPr="00B74142" w:rsidRDefault="004F1430" w:rsidP="00CF784D">
      <w:pPr>
        <w:numPr>
          <w:ilvl w:val="0"/>
          <w:numId w:val="20"/>
        </w:numPr>
        <w:rPr>
          <w:color w:val="313131"/>
          <w:szCs w:val="18"/>
        </w:rPr>
      </w:pPr>
      <w:r w:rsidRPr="00B74142">
        <w:rPr>
          <w:color w:val="313131"/>
          <w:szCs w:val="18"/>
        </w:rPr>
        <w:t>Programul Operațional Dezvoltare Durabilă (PODD)</w:t>
      </w:r>
    </w:p>
    <w:p w14:paraId="565368C5" w14:textId="77777777" w:rsidR="004F1430" w:rsidRPr="00B74142" w:rsidRDefault="004F1430" w:rsidP="00CF784D">
      <w:pPr>
        <w:numPr>
          <w:ilvl w:val="0"/>
          <w:numId w:val="20"/>
        </w:numPr>
        <w:rPr>
          <w:color w:val="313131"/>
          <w:szCs w:val="18"/>
        </w:rPr>
      </w:pPr>
      <w:r w:rsidRPr="00B74142">
        <w:rPr>
          <w:color w:val="313131"/>
          <w:szCs w:val="18"/>
        </w:rPr>
        <w:t>Programul Operațional Creștere Inteligentă, Digitalizare și Instrumente Financiare (POCIDIF)</w:t>
      </w:r>
    </w:p>
    <w:p w14:paraId="58E73B7C" w14:textId="77777777" w:rsidR="004F1430" w:rsidRPr="00B74142" w:rsidRDefault="004F1430" w:rsidP="00CF784D">
      <w:pPr>
        <w:numPr>
          <w:ilvl w:val="0"/>
          <w:numId w:val="20"/>
        </w:numPr>
        <w:rPr>
          <w:color w:val="313131"/>
          <w:szCs w:val="18"/>
        </w:rPr>
      </w:pPr>
      <w:r w:rsidRPr="00B74142">
        <w:rPr>
          <w:color w:val="313131"/>
          <w:szCs w:val="18"/>
        </w:rPr>
        <w:t>Programul Operațional Asistență Tehnică (POAT)</w:t>
      </w:r>
    </w:p>
    <w:p w14:paraId="39E1EFCB" w14:textId="77777777" w:rsidR="004F1430" w:rsidRPr="00B74142" w:rsidRDefault="004F1430" w:rsidP="00CF784D">
      <w:pPr>
        <w:numPr>
          <w:ilvl w:val="0"/>
          <w:numId w:val="20"/>
        </w:numPr>
        <w:rPr>
          <w:color w:val="313131"/>
          <w:szCs w:val="18"/>
        </w:rPr>
      </w:pPr>
      <w:r w:rsidRPr="00B74142">
        <w:rPr>
          <w:color w:val="313131"/>
          <w:szCs w:val="18"/>
        </w:rPr>
        <w:t>Programul Operațional Sănătate (POS)</w:t>
      </w:r>
    </w:p>
    <w:p w14:paraId="2BB9203B" w14:textId="77777777" w:rsidR="004F1430" w:rsidRPr="00B74142" w:rsidRDefault="004F1430" w:rsidP="00CF784D">
      <w:pPr>
        <w:numPr>
          <w:ilvl w:val="0"/>
          <w:numId w:val="20"/>
        </w:numPr>
        <w:rPr>
          <w:color w:val="313131"/>
          <w:szCs w:val="18"/>
        </w:rPr>
      </w:pPr>
      <w:r w:rsidRPr="00B74142">
        <w:rPr>
          <w:color w:val="313131"/>
          <w:szCs w:val="18"/>
        </w:rPr>
        <w:t>Programul Operațional Educație și Ocupare (POEO)</w:t>
      </w:r>
    </w:p>
    <w:p w14:paraId="781636F8" w14:textId="77777777" w:rsidR="004F1430" w:rsidRPr="00B74142" w:rsidRDefault="004F1430" w:rsidP="00CF784D">
      <w:pPr>
        <w:numPr>
          <w:ilvl w:val="0"/>
          <w:numId w:val="20"/>
        </w:numPr>
        <w:rPr>
          <w:color w:val="313131"/>
          <w:szCs w:val="18"/>
        </w:rPr>
      </w:pPr>
      <w:r w:rsidRPr="00B74142">
        <w:rPr>
          <w:color w:val="313131"/>
          <w:szCs w:val="18"/>
        </w:rPr>
        <w:t>Programul Operaţional Incluziune și Demnitate Socială (POIDS)</w:t>
      </w:r>
    </w:p>
    <w:p w14:paraId="0747C980" w14:textId="77777777" w:rsidR="004F1430" w:rsidRPr="00B74142" w:rsidRDefault="004F1430" w:rsidP="00CF784D">
      <w:pPr>
        <w:numPr>
          <w:ilvl w:val="0"/>
          <w:numId w:val="20"/>
        </w:numPr>
        <w:rPr>
          <w:color w:val="313131"/>
          <w:szCs w:val="18"/>
        </w:rPr>
      </w:pPr>
      <w:r w:rsidRPr="00B74142">
        <w:rPr>
          <w:color w:val="313131"/>
          <w:szCs w:val="18"/>
        </w:rPr>
        <w:t>Programul Operaţional Transport</w:t>
      </w:r>
    </w:p>
    <w:p w14:paraId="6809DB49"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Totodată, MIPE a lansat spre consultare publică documentele aferente Programului Operațional Dezvoltare Durabilă 2021-2027, fiind organizat în luna iulie 2022 și un eveniment online în acest sens. Mai multe informații sunt disponibile </w:t>
      </w:r>
      <w:hyperlink r:id="rId19" w:tgtFrame="_blank" w:history="1">
        <w:r w:rsidRPr="00B74142">
          <w:rPr>
            <w:rStyle w:val="Hyperlink"/>
            <w:b/>
            <w:bCs/>
            <w:i/>
            <w:iCs/>
          </w:rPr>
          <w:t>aici</w:t>
        </w:r>
      </w:hyperlink>
      <w:r w:rsidRPr="00B74142">
        <w:rPr>
          <w:rFonts w:ascii="Verdana" w:hAnsi="Verdana"/>
          <w:color w:val="313131"/>
          <w:sz w:val="18"/>
          <w:szCs w:val="18"/>
        </w:rPr>
        <w:t>. </w:t>
      </w:r>
    </w:p>
    <w:p w14:paraId="305F2EDA" w14:textId="77777777" w:rsidR="004F1430" w:rsidRPr="00B74142" w:rsidRDefault="004F1430" w:rsidP="009840C9">
      <w:pPr>
        <w:pStyle w:val="Stilsursa"/>
      </w:pPr>
      <w:r w:rsidRPr="00B74142">
        <w:t>Sursa: MIPE </w:t>
      </w:r>
    </w:p>
    <w:p w14:paraId="7BFCBD66" w14:textId="4E95393C" w:rsidR="004F1430" w:rsidRPr="00B74142" w:rsidRDefault="004F1430" w:rsidP="009840C9">
      <w:pPr>
        <w:pStyle w:val="separatorarticole"/>
      </w:pPr>
      <w:r w:rsidRPr="00B74142">
        <w:t>*</w:t>
      </w:r>
    </w:p>
    <w:p w14:paraId="19D15CEF" w14:textId="77777777" w:rsidR="004F1430" w:rsidRPr="00B74142" w:rsidRDefault="004F1430" w:rsidP="009840C9">
      <w:pPr>
        <w:pStyle w:val="TitluArticolinINFOUE"/>
        <w:rPr>
          <w:lang w:eastAsia="ro-RO"/>
        </w:rPr>
      </w:pPr>
      <w:bookmarkStart w:id="143" w:name="_Toc106112245"/>
      <w:r w:rsidRPr="00B74142">
        <w:t>Aviz pozitiv din partea Comisiei Europene pentru PNRR-ul Poloniei! Țara trebuie să respecte angajamentele cu privire la independența justiției</w:t>
      </w:r>
      <w:bookmarkEnd w:id="143"/>
    </w:p>
    <w:p w14:paraId="2B8355C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Comisia Europeană a evaluat miercuri, 1 iunie 2022, pozitiv, Planul Național de Redresare și Reziliență  al Poloniei, în valoare de 35.4 miliarde de euro, respectiv 23.9 miliarde euro sub formă de granturi și 11,5 miliarde euro în împrumuturi în cadrul Facilității pentru redresare și reziliență (FRR).</w:t>
      </w:r>
    </w:p>
    <w:p w14:paraId="687EF9D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Planul Poloniei include repere legate de aspectele importante ale independenței sistemului judiciar, care sunt de o importanță deosebită pentru îmbunătățirea climatului investițional și pentru a pune în aplicare condițiile pentru o implementare eficientă a planului de redresare și reziliență. Polonia trebuie să demonstreze că aceste etape sunt îndeplinite înainte de a putea fi efectuată orice plată în cadrul RRF.</w:t>
      </w:r>
    </w:p>
    <w:p w14:paraId="6A44075F"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Evaluarea Comisiei arată că planul Poloniei alocă 42,7% din alocarea sa totală măsurilor care sprijină obiectivele climatice.</w:t>
      </w:r>
    </w:p>
    <w:p w14:paraId="4EDBA5EC"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Style w:val="Strong"/>
          <w:color w:val="313131"/>
        </w:rPr>
        <w:t>Consolidarea rezilienței economice și sociale a Poloniei</w:t>
      </w:r>
    </w:p>
    <w:p w14:paraId="5B79237A"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Comisia consideră că planul Poloniei include un set extins de reforme și investiții care se consolidează reciproc, care contribuie la abordarea eficientă a tuturor sau a unui subset semnificativ al provocărilor economice și sociale prezentate în recomandările specifice fiecărei țări adresate Poloniei.</w:t>
      </w:r>
    </w:p>
    <w:p w14:paraId="5152E9DE"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Planul Poloniei conține mai multe reforme pentru a îmbunătăți climatul investițional din Polonia. Aceasta include o </w:t>
      </w:r>
      <w:r w:rsidRPr="00B74142">
        <w:rPr>
          <w:rStyle w:val="Strong"/>
          <w:color w:val="313131"/>
        </w:rPr>
        <w:t>reformă cuprinzătoare a regimului disciplinar aplicabil judecătorilor polonezi</w:t>
      </w:r>
      <w:r w:rsidRPr="00B74142">
        <w:rPr>
          <w:rFonts w:ascii="Verdana" w:hAnsi="Verdana"/>
          <w:color w:val="313131"/>
          <w:sz w:val="18"/>
          <w:szCs w:val="18"/>
        </w:rPr>
        <w:t>, care ar trebui să consolideze aspecte importante ale independenței sistemului judiciar.</w:t>
      </w:r>
    </w:p>
    <w:p w14:paraId="74E2CEB9"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Style w:val="Strong"/>
          <w:color w:val="313131"/>
        </w:rPr>
        <w:t>O astfel de reformă va trebui să respecte următoarele angajamente:</w:t>
      </w:r>
    </w:p>
    <w:p w14:paraId="3C2190AF" w14:textId="77777777" w:rsidR="004F1430" w:rsidRPr="00B74142" w:rsidRDefault="004F1430" w:rsidP="00CF784D">
      <w:pPr>
        <w:numPr>
          <w:ilvl w:val="0"/>
          <w:numId w:val="9"/>
        </w:numPr>
        <w:rPr>
          <w:color w:val="313131"/>
          <w:szCs w:val="18"/>
        </w:rPr>
      </w:pPr>
      <w:r w:rsidRPr="00B74142">
        <w:rPr>
          <w:color w:val="313131"/>
          <w:szCs w:val="18"/>
        </w:rPr>
        <w:t>toate cauzele disciplinare împotriva judecătorilor vor fi judecate de o instanță, diferită de Camera de disciplină actuală, care respectă cerințele dreptului UE în conformitate cu jurisprudența Curții de Justiție și este astfel independentă, imparțială și stabilită prin lege;</w:t>
      </w:r>
    </w:p>
    <w:p w14:paraId="6EB85E9E" w14:textId="77777777" w:rsidR="004F1430" w:rsidRPr="00B74142" w:rsidRDefault="004F1430" w:rsidP="00CF784D">
      <w:pPr>
        <w:numPr>
          <w:ilvl w:val="0"/>
          <w:numId w:val="9"/>
        </w:numPr>
        <w:rPr>
          <w:color w:val="313131"/>
          <w:szCs w:val="18"/>
        </w:rPr>
      </w:pPr>
      <w:r w:rsidRPr="00B74142">
        <w:rPr>
          <w:color w:val="313131"/>
          <w:szCs w:val="18"/>
        </w:rPr>
        <w:t>judecătorii nu pot fi supuși răspunderii disciplinare pentru depunerea unei cereri de pronunțare a unei hotărâri preliminare la Curtea de Justiție, pentru conținutul hotărârilor lor judecătorești sau pentru a verifica dacă o altă instanță este independentă, imparțială și stabilită prin lege;</w:t>
      </w:r>
    </w:p>
    <w:p w14:paraId="3212B375" w14:textId="77777777" w:rsidR="004F1430" w:rsidRPr="00B74142" w:rsidRDefault="004F1430" w:rsidP="00CF784D">
      <w:pPr>
        <w:numPr>
          <w:ilvl w:val="0"/>
          <w:numId w:val="9"/>
        </w:numPr>
        <w:rPr>
          <w:color w:val="313131"/>
          <w:szCs w:val="18"/>
        </w:rPr>
      </w:pPr>
      <w:r w:rsidRPr="00B74142">
        <w:rPr>
          <w:color w:val="313131"/>
          <w:szCs w:val="18"/>
        </w:rPr>
        <w:t>drepturile procedurale ale părților în procedurile disciplinare sunt consolidate;</w:t>
      </w:r>
    </w:p>
    <w:p w14:paraId="127B6440" w14:textId="77777777" w:rsidR="004F1430" w:rsidRPr="00B74142" w:rsidRDefault="004F1430" w:rsidP="00CF784D">
      <w:pPr>
        <w:numPr>
          <w:ilvl w:val="0"/>
          <w:numId w:val="9"/>
        </w:numPr>
        <w:rPr>
          <w:color w:val="313131"/>
          <w:szCs w:val="18"/>
        </w:rPr>
      </w:pPr>
      <w:r w:rsidRPr="00B74142">
        <w:rPr>
          <w:color w:val="313131"/>
          <w:szCs w:val="18"/>
        </w:rPr>
        <w:lastRenderedPageBreak/>
        <w:t>toți judecătorii afectați de hotărârile anterioare ale Camerei de disciplină vor avea dreptul ca aceste hotărâri să fie revizuite fără întârziere de către o instanță care respectă cerințele UE și, prin urmare, este independentă, imparțială și stabilită prin lege.</w:t>
      </w:r>
    </w:p>
    <w:p w14:paraId="22C1AF70"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Style w:val="Strong"/>
          <w:color w:val="313131"/>
        </w:rPr>
        <w:t>Pașii următori</w:t>
      </w:r>
    </w:p>
    <w:p w14:paraId="7B741A66"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Consiliul va avea acum, de regulă, patru săptămâni pentru a adopta propunerea Comisiei.</w:t>
      </w:r>
    </w:p>
    <w:p w14:paraId="3025BC88"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Comisia va autoriza plățile de fonduri pe baza îndeplinirii satisfăcătoare a etapelor și țintelor prezentate în planul de redresare și reziliență, reflectând progresul în punerea în aplicare a investițiilor și a reformelor.</w:t>
      </w:r>
    </w:p>
    <w:p w14:paraId="32BE8273" w14:textId="77777777" w:rsidR="004F1430" w:rsidRPr="00B74142" w:rsidRDefault="004F1430" w:rsidP="00B74142">
      <w:pPr>
        <w:pStyle w:val="NormalWeb"/>
        <w:spacing w:before="120" w:beforeAutospacing="0" w:after="0" w:afterAutospacing="0"/>
        <w:rPr>
          <w:rFonts w:ascii="Verdana" w:hAnsi="Verdana"/>
          <w:color w:val="313131"/>
          <w:sz w:val="18"/>
          <w:szCs w:val="18"/>
        </w:rPr>
      </w:pPr>
      <w:r w:rsidRPr="00B74142">
        <w:rPr>
          <w:rFonts w:ascii="Verdana" w:hAnsi="Verdana"/>
          <w:color w:val="313131"/>
          <w:sz w:val="18"/>
          <w:szCs w:val="18"/>
        </w:rPr>
        <w:t>Unele etape sunt necesare pentru a asigura protecția efectivă a intereselor financiare ale Uniunii și trebuie îndeplinite înainte ca Polonia să își prezinte prima cerere de plată.</w:t>
      </w:r>
    </w:p>
    <w:p w14:paraId="47680ADA" w14:textId="77777777" w:rsidR="004F1430" w:rsidRPr="00B74142" w:rsidRDefault="004F1430" w:rsidP="009840C9">
      <w:pPr>
        <w:pStyle w:val="Stilsursa"/>
      </w:pPr>
      <w:r w:rsidRPr="00B74142">
        <w:t>Sursa: Comisia Europeană</w:t>
      </w:r>
    </w:p>
    <w:p w14:paraId="1AD0267B" w14:textId="77777777" w:rsidR="00607517" w:rsidRDefault="00607517" w:rsidP="007423C9">
      <w:pPr>
        <w:spacing w:before="240"/>
        <w:ind w:right="198"/>
        <w:jc w:val="center"/>
        <w:rPr>
          <w:color w:val="9999FF"/>
          <w:spacing w:val="40"/>
          <w:sz w:val="16"/>
          <w:szCs w:val="16"/>
        </w:rPr>
      </w:pPr>
      <w:bookmarkStart w:id="144"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7423C9">
      <w:pPr>
        <w:pStyle w:val="Consultare"/>
        <w:rPr>
          <w:color w:val="538135" w:themeColor="accent6" w:themeShade="BF"/>
        </w:rPr>
      </w:pPr>
      <w:bookmarkStart w:id="145" w:name="_Toc106112246"/>
      <w:r w:rsidRPr="00FA2036">
        <w:rPr>
          <w:color w:val="538135" w:themeColor="accent6" w:themeShade="BF"/>
        </w:rPr>
        <w:t>PNRR</w:t>
      </w:r>
      <w:bookmarkEnd w:id="145"/>
    </w:p>
    <w:p w14:paraId="28076E94" w14:textId="77777777" w:rsidR="00C1486F" w:rsidRPr="00CF7DDE" w:rsidRDefault="00C1486F" w:rsidP="00CF7DDE">
      <w:pPr>
        <w:pStyle w:val="TitluArticolinINFOUE"/>
        <w:rPr>
          <w:lang w:eastAsia="ro-RO"/>
        </w:rPr>
      </w:pPr>
      <w:bookmarkStart w:id="146" w:name="_Toc106112247"/>
      <w:r w:rsidRPr="00CF7DDE">
        <w:t>În perioada 08-30 iunie pot fi depuse cererile de finanțare în cadrul celor două apeluri aferente Componentei 11 – Turism și Cultură din PNRR!</w:t>
      </w:r>
      <w:bookmarkEnd w:id="146"/>
    </w:p>
    <w:p w14:paraId="23D3AD6D"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Ministerul Investițiilor și Proiectelor Europene a deschis miercuri, 8 iunie 2022, două apeluri aferente Componentei 11 – Turism și Cultură din Planul Național de Redresare și Reziliență al României (PNRR).</w:t>
      </w:r>
    </w:p>
    <w:p w14:paraId="0AB0ED3E"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INVESTIȚIA 1 – PROMOVAREA CELOR 12 RUTE TURISTICE/CULTURALE</w:t>
      </w:r>
    </w:p>
    <w:p w14:paraId="408A114E"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Alocarea apelului </w:t>
      </w:r>
      <w:r w:rsidRPr="00CF7DDE">
        <w:rPr>
          <w:rFonts w:ascii="Verdana" w:hAnsi="Verdana"/>
          <w:color w:val="313131"/>
          <w:sz w:val="18"/>
          <w:szCs w:val="18"/>
        </w:rPr>
        <w:t>este de 460.149.383 lei, echivalentul a 93,475 milioane euro.</w:t>
      </w:r>
    </w:p>
    <w:p w14:paraId="0BC6B681"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Valorile maxime eligibile</w:t>
      </w:r>
      <w:r w:rsidRPr="00CF7DDE">
        <w:rPr>
          <w:rFonts w:ascii="Verdana" w:hAnsi="Verdana"/>
          <w:color w:val="313131"/>
          <w:sz w:val="18"/>
          <w:szCs w:val="18"/>
        </w:rPr>
        <w:t> ale unui proiect variază în funcție de rută și sunt prevăzute la punctul 2.5 din ghid.</w:t>
      </w:r>
    </w:p>
    <w:p w14:paraId="61542C2F"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Prin ghidul aferent acestei investiții, se acordă sprijin financiar pentru modernizarea /reabilitarea obiectivelor (siturilor) turistice cu impact național și internațional, identificate în zonele de destinație optimă. </w:t>
      </w:r>
    </w:p>
    <w:p w14:paraId="752FDF30"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Ghidul se adresează tuturor proiectelor și </w:t>
      </w:r>
      <w:r w:rsidRPr="00CF7DDE">
        <w:rPr>
          <w:rStyle w:val="Strong"/>
          <w:color w:val="313131"/>
        </w:rPr>
        <w:t>solicitanților </w:t>
      </w:r>
      <w:r w:rsidRPr="00CF7DDE">
        <w:rPr>
          <w:rFonts w:ascii="Verdana" w:hAnsi="Verdana"/>
          <w:color w:val="313131"/>
          <w:sz w:val="18"/>
          <w:szCs w:val="18"/>
        </w:rPr>
        <w:t>incluși în rutele turistice/culturale și selectați în vederea restaurării, conform Listelor aprobate prin ordinul ministrului investițiilor și proiectelor europene, al ministrului culturii, al ministrului dezvoltării, lucrărilor publice și administrației și al ministrului antreprenoriatului și turismului nr. 365/722/2781/526/2022.</w:t>
      </w:r>
    </w:p>
    <w:p w14:paraId="489225A7" w14:textId="77777777" w:rsidR="00C1486F" w:rsidRPr="00CF7DDE" w:rsidRDefault="00C1486F" w:rsidP="00CF7DDE">
      <w:pPr>
        <w:pStyle w:val="NormalWeb"/>
        <w:spacing w:before="0" w:beforeAutospacing="0" w:after="150" w:afterAutospacing="0"/>
        <w:rPr>
          <w:rFonts w:ascii="Verdana" w:hAnsi="Verdana"/>
          <w:color w:val="313131"/>
          <w:sz w:val="18"/>
          <w:szCs w:val="18"/>
        </w:rPr>
      </w:pPr>
      <w:hyperlink r:id="rId20" w:tgtFrame="_blank" w:history="1">
        <w:r w:rsidRPr="00CF7DDE">
          <w:rPr>
            <w:rStyle w:val="Emphasis"/>
            <w:b/>
            <w:bCs/>
            <w:color w:val="0000FF"/>
            <w:u w:val="single"/>
          </w:rPr>
          <w:t>Descarcă</w:t>
        </w:r>
      </w:hyperlink>
      <w:r w:rsidRPr="00CF7DDE">
        <w:rPr>
          <w:rFonts w:ascii="Verdana" w:hAnsi="Verdana"/>
          <w:color w:val="313131"/>
          <w:sz w:val="18"/>
          <w:szCs w:val="18"/>
        </w:rPr>
        <w:t> ghidul</w:t>
      </w:r>
    </w:p>
    <w:p w14:paraId="29BB6331"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INVESTIȚIA I2. MODERNIZAREA/CREAREA DE MUZEE ȘI MEMORIALE</w:t>
      </w:r>
    </w:p>
    <w:p w14:paraId="14D91B61"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Alocare</w:t>
      </w:r>
      <w:r w:rsidRPr="00CF7DDE">
        <w:rPr>
          <w:rFonts w:ascii="Verdana" w:hAnsi="Verdana"/>
          <w:color w:val="313131"/>
          <w:sz w:val="18"/>
          <w:szCs w:val="18"/>
        </w:rPr>
        <w:t>: 337.106.496 lei, echivalentul a 68,48 milioane euro</w:t>
      </w:r>
    </w:p>
    <w:p w14:paraId="67FC2423"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Valorile maxime eligibile</w:t>
      </w:r>
      <w:r w:rsidRPr="00CF7DDE">
        <w:rPr>
          <w:rFonts w:ascii="Verdana" w:hAnsi="Verdana"/>
          <w:color w:val="313131"/>
          <w:sz w:val="18"/>
          <w:szCs w:val="18"/>
        </w:rPr>
        <w:t> ale unui proiect variază în funcție de rută și sunt prevăzute la punctul 2.5 din ghid.</w:t>
      </w:r>
    </w:p>
    <w:p w14:paraId="4F0352FE"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Prin ghidul aferent acestei investiții, se acordă sprijin financiar pentru dezvoltarea turismului cultural prin modernizarea/crearea muzeelor și memorialelor dedicate opresiunii și conflictelor.</w:t>
      </w:r>
    </w:p>
    <w:p w14:paraId="4D93B2EA"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Style w:val="Strong"/>
          <w:color w:val="313131"/>
        </w:rPr>
        <w:t>Beneficiarii </w:t>
      </w:r>
      <w:r w:rsidRPr="00CF7DDE">
        <w:rPr>
          <w:rFonts w:ascii="Verdana" w:hAnsi="Verdana"/>
          <w:color w:val="313131"/>
          <w:sz w:val="18"/>
          <w:szCs w:val="18"/>
        </w:rPr>
        <w:t>proiectelor depuse în cadrul apelului de proiecte sunt: </w:t>
      </w:r>
    </w:p>
    <w:p w14:paraId="36439047" w14:textId="77777777" w:rsidR="00C1486F" w:rsidRPr="00CF7DDE" w:rsidRDefault="00C1486F" w:rsidP="00CF7DDE">
      <w:pPr>
        <w:numPr>
          <w:ilvl w:val="0"/>
          <w:numId w:val="41"/>
        </w:numPr>
        <w:spacing w:before="100" w:beforeAutospacing="1" w:after="100" w:afterAutospacing="1"/>
        <w:rPr>
          <w:color w:val="313131"/>
          <w:szCs w:val="18"/>
        </w:rPr>
      </w:pPr>
      <w:r w:rsidRPr="00CF7DDE">
        <w:rPr>
          <w:color w:val="313131"/>
          <w:szCs w:val="18"/>
        </w:rPr>
        <w:t>Unitățile Administrativ-teritoriale: Municipiul Timișoara, Municipiul Satu Mare, Municipiul Târgu Mureș și Municipiul Sfîntu Gheorghe, după caz. Proiectele pot fi implementate în parteneriat cu Compania Națională de Investiții.</w:t>
      </w:r>
    </w:p>
    <w:p w14:paraId="5902C264" w14:textId="77777777" w:rsidR="00C1486F" w:rsidRPr="00CF7DDE" w:rsidRDefault="00C1486F" w:rsidP="00CF7DDE">
      <w:pPr>
        <w:numPr>
          <w:ilvl w:val="0"/>
          <w:numId w:val="41"/>
        </w:numPr>
        <w:spacing w:before="100" w:beforeAutospacing="1" w:after="100" w:afterAutospacing="1"/>
        <w:rPr>
          <w:color w:val="313131"/>
          <w:szCs w:val="18"/>
        </w:rPr>
      </w:pPr>
      <w:r w:rsidRPr="00CF7DDE">
        <w:rPr>
          <w:color w:val="313131"/>
          <w:szCs w:val="18"/>
        </w:rPr>
        <w:t>Instituții publice/ structuri guvernamentale în parteneriat cu Compania Națională de Investiții: </w:t>
      </w:r>
    </w:p>
    <w:p w14:paraId="59E864EC" w14:textId="77777777" w:rsidR="00C1486F" w:rsidRPr="00CF7DDE" w:rsidRDefault="00C1486F" w:rsidP="00CF7DDE">
      <w:pPr>
        <w:numPr>
          <w:ilvl w:val="1"/>
          <w:numId w:val="41"/>
        </w:numPr>
        <w:spacing w:before="100" w:beforeAutospacing="1" w:after="100" w:afterAutospacing="1"/>
        <w:rPr>
          <w:color w:val="313131"/>
          <w:szCs w:val="18"/>
        </w:rPr>
      </w:pPr>
      <w:r w:rsidRPr="00CF7DDE">
        <w:rPr>
          <w:color w:val="313131"/>
          <w:szCs w:val="18"/>
        </w:rPr>
        <w:t>Institutul Național pentru Studierea Holocaustului din România „Elie Wiesel”, </w:t>
      </w:r>
    </w:p>
    <w:p w14:paraId="43748F78" w14:textId="77777777" w:rsidR="00C1486F" w:rsidRPr="00CF7DDE" w:rsidRDefault="00C1486F" w:rsidP="00CF7DDE">
      <w:pPr>
        <w:numPr>
          <w:ilvl w:val="1"/>
          <w:numId w:val="41"/>
        </w:numPr>
        <w:spacing w:before="100" w:beforeAutospacing="1" w:after="100" w:afterAutospacing="1"/>
        <w:rPr>
          <w:color w:val="313131"/>
          <w:szCs w:val="18"/>
        </w:rPr>
      </w:pPr>
      <w:r w:rsidRPr="00CF7DDE">
        <w:rPr>
          <w:color w:val="313131"/>
          <w:szCs w:val="18"/>
        </w:rPr>
        <w:t>Institutul de Investigare a Crimelor Comunismului și Memoria Exilului Românesc (IICCMER),</w:t>
      </w:r>
    </w:p>
    <w:p w14:paraId="69B0D159" w14:textId="77777777" w:rsidR="00C1486F" w:rsidRPr="00CF7DDE" w:rsidRDefault="00C1486F" w:rsidP="00CF7DDE">
      <w:pPr>
        <w:numPr>
          <w:ilvl w:val="1"/>
          <w:numId w:val="41"/>
        </w:numPr>
        <w:spacing w:before="100" w:beforeAutospacing="1" w:after="100" w:afterAutospacing="1"/>
        <w:rPr>
          <w:color w:val="313131"/>
          <w:szCs w:val="18"/>
        </w:rPr>
      </w:pPr>
      <w:r w:rsidRPr="00CF7DDE">
        <w:rPr>
          <w:color w:val="313131"/>
          <w:szCs w:val="18"/>
        </w:rPr>
        <w:lastRenderedPageBreak/>
        <w:t>Muzeul de Istorie al Transilvaniei, insituție aflată în subordinea Ministerului Culturii. </w:t>
      </w:r>
    </w:p>
    <w:p w14:paraId="3F5C2C9B" w14:textId="77777777" w:rsidR="00C1486F" w:rsidRPr="00CF7DDE" w:rsidRDefault="00C1486F" w:rsidP="00CF7DDE">
      <w:pPr>
        <w:numPr>
          <w:ilvl w:val="0"/>
          <w:numId w:val="41"/>
        </w:numPr>
        <w:spacing w:before="100" w:beforeAutospacing="1" w:after="100" w:afterAutospacing="1"/>
        <w:rPr>
          <w:color w:val="313131"/>
          <w:szCs w:val="18"/>
        </w:rPr>
      </w:pPr>
      <w:r w:rsidRPr="00CF7DDE">
        <w:rPr>
          <w:color w:val="313131"/>
          <w:szCs w:val="18"/>
        </w:rPr>
        <w:t>Unitate de cult (Arhiepiscopia Ortodoxă Română Alba Iulia – Schitul Înălțarea Sfintei Cruci)</w:t>
      </w:r>
    </w:p>
    <w:p w14:paraId="4E281804" w14:textId="77777777" w:rsidR="00C1486F" w:rsidRPr="00CF7DDE" w:rsidRDefault="00C1486F" w:rsidP="00CF7DDE">
      <w:pPr>
        <w:numPr>
          <w:ilvl w:val="0"/>
          <w:numId w:val="41"/>
        </w:numPr>
        <w:spacing w:before="100" w:beforeAutospacing="1" w:after="100" w:afterAutospacing="1"/>
        <w:rPr>
          <w:color w:val="313131"/>
          <w:szCs w:val="18"/>
        </w:rPr>
      </w:pPr>
      <w:r w:rsidRPr="00CF7DDE">
        <w:rPr>
          <w:color w:val="313131"/>
          <w:szCs w:val="18"/>
        </w:rPr>
        <w:t>Persoanele juridice de drept privat care au drepturi reale pentru care poate fi acordat dreptul de intervenție asupra obiectivului (avize/autorizație de construire)(Fundaţia Academia Civică) în parteneriat cu Compania Națională de Investiții.</w:t>
      </w:r>
    </w:p>
    <w:p w14:paraId="732E25E5" w14:textId="77777777" w:rsidR="00C1486F" w:rsidRPr="00CF7DDE" w:rsidRDefault="00C1486F" w:rsidP="00CF7DDE">
      <w:pPr>
        <w:pStyle w:val="NormalWeb"/>
        <w:spacing w:before="0" w:beforeAutospacing="0" w:after="150" w:afterAutospacing="0"/>
        <w:rPr>
          <w:rFonts w:ascii="Verdana" w:hAnsi="Verdana"/>
          <w:color w:val="313131"/>
          <w:sz w:val="18"/>
          <w:szCs w:val="18"/>
        </w:rPr>
      </w:pPr>
      <w:hyperlink r:id="rId21" w:tgtFrame="_blank" w:history="1">
        <w:r w:rsidRPr="00CF7DDE">
          <w:rPr>
            <w:rStyle w:val="Emphasis"/>
            <w:b/>
            <w:bCs/>
            <w:color w:val="0000FF"/>
            <w:u w:val="single"/>
          </w:rPr>
          <w:t>Descarcă</w:t>
        </w:r>
      </w:hyperlink>
      <w:r w:rsidRPr="00CF7DDE">
        <w:rPr>
          <w:rFonts w:ascii="Verdana" w:hAnsi="Verdana"/>
          <w:color w:val="313131"/>
          <w:sz w:val="18"/>
          <w:szCs w:val="18"/>
        </w:rPr>
        <w:t> ghidul</w:t>
      </w:r>
    </w:p>
    <w:p w14:paraId="4C70B73B" w14:textId="77777777" w:rsidR="00C1486F" w:rsidRPr="00CF7DDE" w:rsidRDefault="00C1486F"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Solicitanții eligibili trebuie să transmită cererea de finanțare și documentele suport conform ghidurilor specifice pentru cele 2 apeluri de proiecte, prin platforma pentru depunerea proiectelor de investiții finanțate în cadrul PNRR, </w:t>
      </w:r>
      <w:hyperlink r:id="rId22" w:history="1">
        <w:r w:rsidRPr="00CF7DDE">
          <w:rPr>
            <w:rStyle w:val="Hyperlink"/>
          </w:rPr>
          <w:t>https://proiecte.pnrr.gov.ro</w:t>
        </w:r>
      </w:hyperlink>
      <w:r w:rsidRPr="00CF7DDE">
        <w:rPr>
          <w:rFonts w:ascii="Verdana" w:hAnsi="Verdana"/>
          <w:color w:val="313131"/>
          <w:sz w:val="18"/>
          <w:szCs w:val="18"/>
        </w:rPr>
        <w:t>, până la data de </w:t>
      </w:r>
      <w:r w:rsidRPr="00CF7DDE">
        <w:rPr>
          <w:rStyle w:val="Strong"/>
          <w:color w:val="313131"/>
        </w:rPr>
        <w:t>30 iunie 2022, ora 24.00</w:t>
      </w:r>
      <w:r w:rsidRPr="00CF7DDE">
        <w:rPr>
          <w:rFonts w:ascii="Verdana" w:hAnsi="Verdana"/>
          <w:color w:val="313131"/>
          <w:sz w:val="18"/>
          <w:szCs w:val="18"/>
        </w:rPr>
        <w:t>.</w:t>
      </w:r>
    </w:p>
    <w:p w14:paraId="52A11524" w14:textId="77777777" w:rsidR="00C1486F" w:rsidRPr="00CF7DDE" w:rsidRDefault="00C1486F" w:rsidP="00CF7DDE">
      <w:pPr>
        <w:pStyle w:val="Stilsursa"/>
      </w:pPr>
      <w:r w:rsidRPr="00CF7DDE">
        <w:t>Sursa: MIPE </w:t>
      </w:r>
    </w:p>
    <w:p w14:paraId="6078569F" w14:textId="08B4ECA9" w:rsidR="00C1486F" w:rsidRPr="00CF7DDE" w:rsidRDefault="00C1486F" w:rsidP="00CF7DDE">
      <w:pPr>
        <w:pStyle w:val="separatorarticole"/>
      </w:pPr>
      <w:r w:rsidRPr="00CF7DDE">
        <w:t>*</w:t>
      </w:r>
    </w:p>
    <w:p w14:paraId="6ACA1FF3" w14:textId="77777777" w:rsidR="0002538C" w:rsidRPr="00CF7DDE" w:rsidRDefault="0002538C" w:rsidP="00CF7DDE">
      <w:pPr>
        <w:pStyle w:val="TitluArticolinINFOUE"/>
        <w:rPr>
          <w:lang w:eastAsia="ro-RO"/>
        </w:rPr>
      </w:pPr>
      <w:bookmarkStart w:id="147" w:name="_Toc106112248"/>
      <w:r w:rsidRPr="00CF7DDE">
        <w:t>PNRR: Universitățile pot solicita cele 234 milioane de euro disponibile pentru digitalizarea și pregătirea acestora pentru profesiile digitale ale viitorului</w:t>
      </w:r>
      <w:bookmarkEnd w:id="147"/>
    </w:p>
    <w:p w14:paraId="036724D1"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Începand cu data de 09.06.2022, ora 14:00, în cadrul aplicației electronice proiecte.pnrr.gov.ro, se pot depune proiecte de finanțare pentru apelul „Digitalizarea universităților și pregătirea acestora pentru profesiile digitale ale viitorului”, deschis de Ministerul Educației. </w:t>
      </w:r>
    </w:p>
    <w:p w14:paraId="26FC0AF1"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Style w:val="Strong"/>
          <w:color w:val="313131"/>
        </w:rPr>
        <w:t>Alocarea financiară totală </w:t>
      </w:r>
      <w:r w:rsidRPr="00CF7DDE">
        <w:rPr>
          <w:rFonts w:ascii="Verdana" w:hAnsi="Verdana"/>
          <w:color w:val="313131"/>
          <w:sz w:val="18"/>
          <w:szCs w:val="18"/>
        </w:rPr>
        <w:t>pentru acest apel de proiecte este de 234 milioane euro, valoare eligibilă PNRR, fără TVA. </w:t>
      </w:r>
    </w:p>
    <w:p w14:paraId="2E3C8F0D"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Style w:val="Strong"/>
          <w:color w:val="313131"/>
        </w:rPr>
        <w:t>Valoarea maximă a grantului</w:t>
      </w:r>
    </w:p>
    <w:p w14:paraId="6448B4D8"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Valoarea totală a grantului se calculează prin însumarea unei sume forfetare pentru dotări de bază (2 milioane euro/universitate eligibilă) și valoarea produsului dintre costul mediu per student și nr. total de studenți fizici înscriși în ciclurile de licență, master, doctorat, la toate formele de învățământ, cu taxă și fără taxă, din universitatea eligibilă.</w:t>
      </w:r>
    </w:p>
    <w:p w14:paraId="544EBB7A"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Plafonul pentru costul mediu per student licență/master/doctorat este stabilit la 200 euro.</w:t>
      </w:r>
    </w:p>
    <w:p w14:paraId="6B7B1E92"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Valoarea maximă a grantului = 2 milioane euro + (200 euro x total nr. studenți ciclu licență, master și doctorat din cadrul universității beneficiare). </w:t>
      </w:r>
    </w:p>
    <w:p w14:paraId="6D50AC6A"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Style w:val="Strong"/>
          <w:color w:val="313131"/>
        </w:rPr>
        <w:t>Prin apel sunt susținute două tipuri majore de investiții </w:t>
      </w:r>
      <w:r w:rsidRPr="00CF7DDE">
        <w:rPr>
          <w:rFonts w:ascii="Verdana" w:hAnsi="Verdana"/>
          <w:color w:val="313131"/>
          <w:sz w:val="18"/>
          <w:szCs w:val="18"/>
        </w:rPr>
        <w:t>pentru digitalizarea universităților în scop didactic și de cercetare:</w:t>
      </w:r>
    </w:p>
    <w:p w14:paraId="4AF35592" w14:textId="77777777" w:rsidR="0002538C" w:rsidRPr="00CF7DDE" w:rsidRDefault="0002538C" w:rsidP="00CF7DDE">
      <w:pPr>
        <w:numPr>
          <w:ilvl w:val="0"/>
          <w:numId w:val="42"/>
        </w:numPr>
        <w:spacing w:before="100" w:beforeAutospacing="1" w:after="100" w:afterAutospacing="1"/>
        <w:rPr>
          <w:color w:val="313131"/>
          <w:szCs w:val="18"/>
        </w:rPr>
      </w:pPr>
      <w:r w:rsidRPr="00CF7DDE">
        <w:rPr>
          <w:color w:val="313131"/>
          <w:szCs w:val="18"/>
        </w:rPr>
        <w:t>Investiții în infrastructura digitală a universităților (modernizarea laboratoarelor, computing centers, noduri/ centre/ hub-uri de inovare și de lansare/ găzduire a unor start-up-uri etc.);</w:t>
      </w:r>
    </w:p>
    <w:p w14:paraId="74268DA4" w14:textId="77777777" w:rsidR="0002538C" w:rsidRPr="00CF7DDE" w:rsidRDefault="0002538C" w:rsidP="00CF7DDE">
      <w:pPr>
        <w:numPr>
          <w:ilvl w:val="0"/>
          <w:numId w:val="42"/>
        </w:numPr>
        <w:spacing w:before="100" w:beforeAutospacing="1" w:after="100" w:afterAutospacing="1"/>
        <w:rPr>
          <w:color w:val="313131"/>
          <w:szCs w:val="18"/>
        </w:rPr>
      </w:pPr>
      <w:r w:rsidRPr="00CF7DDE">
        <w:rPr>
          <w:color w:val="313131"/>
          <w:szCs w:val="18"/>
        </w:rPr>
        <w:t>Investiții în formarea competențelor digitale ale membrilor comunității academice.</w:t>
      </w:r>
    </w:p>
    <w:p w14:paraId="0614B0FC"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Style w:val="Strong"/>
          <w:color w:val="313131"/>
        </w:rPr>
        <w:t>Domeniile de specializare </w:t>
      </w:r>
      <w:r w:rsidRPr="00CF7DDE">
        <w:rPr>
          <w:rFonts w:ascii="Verdana" w:hAnsi="Verdana"/>
          <w:color w:val="313131"/>
          <w:sz w:val="18"/>
          <w:szCs w:val="18"/>
        </w:rPr>
        <w:t>stabilite de Ministerul Educației ca prioritare, prin consultarea strategiilor naționale, sunt:</w:t>
      </w:r>
    </w:p>
    <w:p w14:paraId="62D6764E"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Energie</w:t>
      </w:r>
    </w:p>
    <w:p w14:paraId="58858878"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Sănătate</w:t>
      </w:r>
    </w:p>
    <w:p w14:paraId="15D14048"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Tehnologii noi și emergente – materiale avansate</w:t>
      </w:r>
    </w:p>
    <w:p w14:paraId="179BD816"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Agricultură (inclusiv silvicultură, pescuit și acvacultură)</w:t>
      </w:r>
    </w:p>
    <w:p w14:paraId="50BD73DF"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Industria extractivă</w:t>
      </w:r>
    </w:p>
    <w:p w14:paraId="0F130E7A"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Industria de prelucrare</w:t>
      </w:r>
    </w:p>
    <w:p w14:paraId="691F1757"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Educație</w:t>
      </w:r>
    </w:p>
    <w:p w14:paraId="68CF4735"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Servicii comerciale</w:t>
      </w:r>
    </w:p>
    <w:p w14:paraId="72EBBDF4"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Administrație Publică</w:t>
      </w:r>
    </w:p>
    <w:p w14:paraId="58E32397"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Digitalizare (inclusiv Tehnologia informațiilor și a comunicațiilor)</w:t>
      </w:r>
    </w:p>
    <w:p w14:paraId="1CD92BB4"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Bioeconomie</w:t>
      </w:r>
    </w:p>
    <w:p w14:paraId="526E55AE"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Economie digitală</w:t>
      </w:r>
    </w:p>
    <w:p w14:paraId="6DD9E460"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Fabricație avansată</w:t>
      </w:r>
    </w:p>
    <w:p w14:paraId="5B1B33DB"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lastRenderedPageBreak/>
        <w:t>Mediu, eco și biotehnologii</w:t>
      </w:r>
    </w:p>
    <w:p w14:paraId="3DA13180"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Spațiu și securitate</w:t>
      </w:r>
    </w:p>
    <w:p w14:paraId="6BF4C647"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Arte</w:t>
      </w:r>
    </w:p>
    <w:p w14:paraId="28677646"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Infrastructură</w:t>
      </w:r>
    </w:p>
    <w:p w14:paraId="2431253C" w14:textId="77777777" w:rsidR="0002538C" w:rsidRPr="00CF7DDE" w:rsidRDefault="0002538C" w:rsidP="00CF7DDE">
      <w:pPr>
        <w:numPr>
          <w:ilvl w:val="0"/>
          <w:numId w:val="43"/>
        </w:numPr>
        <w:spacing w:before="100" w:beforeAutospacing="1" w:after="100" w:afterAutospacing="1"/>
        <w:rPr>
          <w:color w:val="313131"/>
          <w:szCs w:val="18"/>
        </w:rPr>
      </w:pPr>
      <w:r w:rsidRPr="00CF7DDE">
        <w:rPr>
          <w:color w:val="313131"/>
          <w:szCs w:val="18"/>
        </w:rPr>
        <w:t>Transport</w:t>
      </w:r>
    </w:p>
    <w:p w14:paraId="0C6E456B"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Se vor acorda granturi destinate unui număr de minim 60 universități pentru finanțarea unor măsuri integrate menite să îmbunătățească infrastructura digitală și să dezvolte competențele studenților și ale cadrelor didactice universitare.</w:t>
      </w:r>
    </w:p>
    <w:p w14:paraId="7D69CC72"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O universitate poate solicita un singur grant în cadrul acestui apel de proiecte</w:t>
      </w:r>
    </w:p>
    <w:p w14:paraId="5ED5228E" w14:textId="77777777" w:rsidR="0002538C" w:rsidRPr="00CF7DDE" w:rsidRDefault="0002538C" w:rsidP="00CF7DDE">
      <w:pPr>
        <w:pStyle w:val="NormalWeb"/>
        <w:spacing w:before="0" w:beforeAutospacing="0" w:after="150" w:afterAutospacing="0"/>
        <w:rPr>
          <w:rFonts w:ascii="Verdana" w:hAnsi="Verdana"/>
          <w:color w:val="313131"/>
          <w:sz w:val="18"/>
          <w:szCs w:val="18"/>
        </w:rPr>
      </w:pPr>
      <w:hyperlink r:id="rId23" w:tgtFrame="_blank" w:history="1">
        <w:r w:rsidRPr="00CF7DDE">
          <w:rPr>
            <w:rStyle w:val="Emphasis"/>
            <w:b/>
            <w:bCs/>
            <w:color w:val="0000FF"/>
            <w:u w:val="single"/>
          </w:rPr>
          <w:t>Descarcă</w:t>
        </w:r>
      </w:hyperlink>
      <w:r w:rsidRPr="00CF7DDE">
        <w:rPr>
          <w:rFonts w:ascii="Verdana" w:hAnsi="Verdana"/>
          <w:color w:val="313131"/>
          <w:sz w:val="18"/>
          <w:szCs w:val="18"/>
        </w:rPr>
        <w:t> ghidul </w:t>
      </w:r>
    </w:p>
    <w:p w14:paraId="319B8637" w14:textId="77777777" w:rsidR="0002538C" w:rsidRPr="00CF7DDE" w:rsidRDefault="0002538C"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Proiectele se pot depune doar online, până cel târziu pe </w:t>
      </w:r>
      <w:r w:rsidRPr="00CF7DDE">
        <w:rPr>
          <w:rStyle w:val="Strong"/>
          <w:color w:val="313131"/>
        </w:rPr>
        <w:t>17.06.2022, ora 16:00</w:t>
      </w:r>
      <w:r w:rsidRPr="00CF7DDE">
        <w:rPr>
          <w:rFonts w:ascii="Verdana" w:hAnsi="Verdana"/>
          <w:color w:val="313131"/>
          <w:sz w:val="18"/>
          <w:szCs w:val="18"/>
        </w:rPr>
        <w:t>. </w:t>
      </w:r>
    </w:p>
    <w:p w14:paraId="76D321F8" w14:textId="08A57990" w:rsidR="00E138A6" w:rsidRPr="00E138A6" w:rsidRDefault="00E138A6" w:rsidP="00E138A6">
      <w:pPr>
        <w:pStyle w:val="Stilsursa"/>
      </w:pPr>
      <w:r>
        <w:t xml:space="preserve">Sursa: </w:t>
      </w:r>
      <w:hyperlink r:id="rId24" w:history="1">
        <w:r w:rsidRPr="00E138A6">
          <w:rPr>
            <w:rStyle w:val="Hyperlink"/>
            <w:sz w:val="14"/>
            <w:szCs w:val="24"/>
            <w:u w:val="none"/>
          </w:rPr>
          <w:t>www.fonduri-structurale.ro</w:t>
        </w:r>
      </w:hyperlink>
    </w:p>
    <w:p w14:paraId="7B0D4E07" w14:textId="4F3545C7" w:rsidR="0002538C" w:rsidRPr="00CF7DDE" w:rsidRDefault="00E138A6" w:rsidP="00E138A6">
      <w:pPr>
        <w:pStyle w:val="separatorarticole"/>
      </w:pPr>
      <w:r>
        <w:t>*</w:t>
      </w:r>
    </w:p>
    <w:p w14:paraId="53CC5A6B" w14:textId="77777777" w:rsidR="001514C4" w:rsidRPr="00CF7DDE" w:rsidRDefault="001514C4" w:rsidP="00E138A6">
      <w:pPr>
        <w:pStyle w:val="TitluArticolinINFOUE"/>
        <w:rPr>
          <w:lang w:eastAsia="ro-RO"/>
        </w:rPr>
      </w:pPr>
      <w:bookmarkStart w:id="148" w:name="_Toc106112249"/>
      <w:r w:rsidRPr="00CF7DDE">
        <w:t>Ministerul Energiei: Platforma PNRR va fi actualizată astfel încât să permită încărcarea mai multor cereri de finanțare pentru același CUI</w:t>
      </w:r>
      <w:bookmarkEnd w:id="148"/>
    </w:p>
    <w:p w14:paraId="61B5A9B0" w14:textId="77777777" w:rsidR="001514C4" w:rsidRPr="00CF7DDE" w:rsidRDefault="001514C4" w:rsidP="00CF7DDE">
      <w:pPr>
        <w:rPr>
          <w:color w:val="313131"/>
          <w:szCs w:val="18"/>
        </w:rPr>
      </w:pPr>
      <w:r w:rsidRPr="00CF7DDE">
        <w:rPr>
          <w:color w:val="313131"/>
          <w:szCs w:val="18"/>
        </w:rPr>
        <w:t> </w:t>
      </w:r>
    </w:p>
    <w:p w14:paraId="113BB795" w14:textId="77777777" w:rsidR="001514C4" w:rsidRPr="00CF7DDE" w:rsidRDefault="001514C4"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Ministerul Energiei a transmis la 7 iunie 2022 faptul că platforma www.proiecte.pnrr.gov.ro va fi actualizată astfel încât să permită încărcarea mai multor cereri de finanțare pentru același CUI. </w:t>
      </w:r>
    </w:p>
    <w:p w14:paraId="3AFE7F29" w14:textId="77777777" w:rsidR="001514C4" w:rsidRPr="00CF7DDE" w:rsidRDefault="001514C4" w:rsidP="00CF7DDE">
      <w:pPr>
        <w:pStyle w:val="NormalWeb"/>
        <w:spacing w:before="0" w:beforeAutospacing="0" w:after="150" w:afterAutospacing="0"/>
        <w:rPr>
          <w:rFonts w:ascii="Verdana" w:hAnsi="Verdana"/>
          <w:color w:val="313131"/>
          <w:sz w:val="18"/>
          <w:szCs w:val="18"/>
        </w:rPr>
      </w:pPr>
      <w:r w:rsidRPr="00CF7DDE">
        <w:rPr>
          <w:rFonts w:ascii="Verdana" w:hAnsi="Verdana"/>
          <w:color w:val="313131"/>
          <w:sz w:val="18"/>
          <w:szCs w:val="18"/>
        </w:rPr>
        <w:t>Potrivit anunțului oficial, acțiunea se va implementa doar pentru proiectele ce urmează a fi depuse, nu retroactiv. Pentru cele depuse ministerul îndeamnă să fie luată în calcul transmiterea acestora prin secțiunea „Clarificări”.</w:t>
      </w:r>
    </w:p>
    <w:p w14:paraId="2539774D" w14:textId="77777777" w:rsidR="001514C4" w:rsidRPr="00CF7DDE" w:rsidRDefault="001514C4" w:rsidP="00E138A6">
      <w:pPr>
        <w:pStyle w:val="Stilsursa"/>
      </w:pPr>
      <w:r w:rsidRPr="00CF7DDE">
        <w:t>Sursa: Ministerul Energiei</w:t>
      </w:r>
    </w:p>
    <w:p w14:paraId="1C476B42" w14:textId="28A29945" w:rsidR="001514C4" w:rsidRPr="00CF7DDE" w:rsidRDefault="001514C4" w:rsidP="00E138A6">
      <w:pPr>
        <w:pStyle w:val="separatorarticole"/>
      </w:pPr>
      <w:r w:rsidRPr="00CF7DDE">
        <w:t>*</w:t>
      </w:r>
    </w:p>
    <w:p w14:paraId="49789C27" w14:textId="77777777" w:rsidR="000C58A2" w:rsidRPr="009840C9" w:rsidRDefault="000C58A2" w:rsidP="009840C9">
      <w:pPr>
        <w:pStyle w:val="TitluArticolinINFOUE"/>
        <w:rPr>
          <w:lang w:eastAsia="ro-RO"/>
        </w:rPr>
      </w:pPr>
      <w:bookmarkStart w:id="149" w:name="_Toc106112250"/>
      <w:r w:rsidRPr="009840C9">
        <w:t>Organizațiile neguvernamentale selectate pentru formarea Comitetului de Monitorizare a PNRR</w:t>
      </w:r>
      <w:bookmarkEnd w:id="149"/>
    </w:p>
    <w:p w14:paraId="54A3F599"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Ministerul Investițiilor și Proiectelor Europene a anunțat ieri, 7 iunie 2022, finalizarea procesului de selecție a celor 15 organizații neguvernamentale care vor face parte din Comitetul de Monitorizare a Planului Național de Redresare şi Reziliență.</w:t>
      </w:r>
    </w:p>
    <w:p w14:paraId="3111D2FD"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urma apelului de candidaturi lansat de MIPE pentru exprimarea interesului privind participarea la procesul de selecție a organizațiilor neguvernamentale ca membre în Comitetul de Monitorizare a Planului Național de Redresare şi Reziliență, în perioada 23 mai – 27 mai 2022, au fost depuse 56 de candidaturi.</w:t>
      </w:r>
    </w:p>
    <w:p w14:paraId="13D7F6AD"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Procesul de evaluare și selecție a candidaturilor s-a desfășurat pe baza criteriilor anunțate anterior, cu luarea în considerare a specificului Planului Național de Redresarea și Reziliență PNRR  și în conformitate cu cei șase piloni ai planului și anume: tranziție verde, transformare digitală, creștere inteligentă, coeziune socială și teritorială, sănătate și reziliență economică, socială și instituțională, politici pentru generația următoare, copii și tineret, cum ar fi educația și competențele.</w:t>
      </w:r>
    </w:p>
    <w:p w14:paraId="5F1EF841"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MIPE a precizat că în cazul patronatelor și a sindicatelor, au fost invitate să facă parte din CM PNRR doar sindicatele și patronatele declarate reprezentative la nivel național conform Legii nr. 62/2011 Legea dialogului social.</w:t>
      </w:r>
    </w:p>
    <w:p w14:paraId="4226B24D"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Pornind de la aceste considerente, MIPE a evaluat candidaturile depuse, iar ieri a publicat rezultatele procesului de evaluare și selecție a organizațiilor neguvernamentale în Comitetul de Monitorizare a Planului Național de Redresare şi Reziliență. Au fost declarate selectate primele 15 organizații neguvernamentale, selecția fiind făcută în ordinea descrescătoare a punctajului obținut.</w:t>
      </w:r>
    </w:p>
    <w:p w14:paraId="619301E5" w14:textId="77777777" w:rsidR="000C58A2" w:rsidRPr="009840C9" w:rsidRDefault="00306065" w:rsidP="009840C9">
      <w:pPr>
        <w:pStyle w:val="NormalWeb"/>
        <w:spacing w:before="120" w:beforeAutospacing="0" w:after="0" w:afterAutospacing="0"/>
        <w:rPr>
          <w:rFonts w:ascii="Verdana" w:hAnsi="Verdana"/>
          <w:color w:val="313131"/>
          <w:sz w:val="18"/>
          <w:szCs w:val="18"/>
        </w:rPr>
      </w:pPr>
      <w:hyperlink r:id="rId25" w:tgtFrame="_blank" w:history="1">
        <w:r w:rsidR="000C58A2" w:rsidRPr="009840C9">
          <w:rPr>
            <w:rStyle w:val="Strong"/>
            <w:i/>
            <w:iCs/>
            <w:color w:val="0000FF"/>
            <w:u w:val="single"/>
          </w:rPr>
          <w:t>Descarcă</w:t>
        </w:r>
      </w:hyperlink>
      <w:r w:rsidR="000C58A2" w:rsidRPr="009840C9">
        <w:rPr>
          <w:rFonts w:ascii="Verdana" w:hAnsi="Verdana"/>
          <w:color w:val="313131"/>
          <w:sz w:val="18"/>
          <w:szCs w:val="18"/>
        </w:rPr>
        <w:t> lista</w:t>
      </w:r>
    </w:p>
    <w:p w14:paraId="5FBCAACC"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lastRenderedPageBreak/>
        <w:t>Entitățile care nu au fost selectate pot depune contestații în termen de maxim 3 zile lucrătoare de la data publicării rezultatelor procesului de evaluare și selecție, prin formularea unei contestații care să includă obiectul contestației și argumentele care susțin punctul de vedere al organizației cu privire la aspectele contestate. Astfel, contestațiile pot fi transmise electronic, la adresa de e-mail </w:t>
      </w:r>
      <w:hyperlink r:id="rId26" w:history="1">
        <w:r w:rsidRPr="009840C9">
          <w:rPr>
            <w:rStyle w:val="Hyperlink"/>
          </w:rPr>
          <w:t>contact.pnrr@mfe.gov.ro</w:t>
        </w:r>
      </w:hyperlink>
      <w:r w:rsidRPr="009840C9">
        <w:rPr>
          <w:rFonts w:ascii="Verdana" w:hAnsi="Verdana"/>
          <w:color w:val="313131"/>
          <w:sz w:val="18"/>
          <w:szCs w:val="18"/>
        </w:rPr>
        <w:t>, până în data de 10 iunie. În urma soluționării contestațiilor, MIPE va publica listele finale ale organizațiilor neguvernamentale, membre în Comitetul de Monitorizare a Planului Național de Redresare și Reziliență.</w:t>
      </w:r>
    </w:p>
    <w:p w14:paraId="63F13092" w14:textId="77777777" w:rsidR="000C58A2" w:rsidRPr="009840C9" w:rsidRDefault="000C58A2" w:rsidP="009840C9">
      <w:pPr>
        <w:pStyle w:val="Stilsursa"/>
      </w:pPr>
      <w:r w:rsidRPr="009840C9">
        <w:t>Sursa: MIPE </w:t>
      </w:r>
    </w:p>
    <w:p w14:paraId="28CF0497" w14:textId="36E1306C" w:rsidR="000C58A2" w:rsidRPr="009840C9" w:rsidRDefault="000C58A2" w:rsidP="009840C9">
      <w:pPr>
        <w:pStyle w:val="separatorarticole"/>
      </w:pPr>
      <w:r w:rsidRPr="009840C9">
        <w:t>*</w:t>
      </w:r>
    </w:p>
    <w:p w14:paraId="088E3047" w14:textId="77777777" w:rsidR="000C58A2" w:rsidRPr="009840C9" w:rsidRDefault="000C58A2" w:rsidP="009840C9">
      <w:pPr>
        <w:pStyle w:val="TitluArticolinINFOUE"/>
        <w:rPr>
          <w:lang w:eastAsia="ro-RO"/>
        </w:rPr>
      </w:pPr>
      <w:bookmarkStart w:id="150" w:name="_Toc106112251"/>
      <w:r w:rsidRPr="009840C9">
        <w:t>Ministerul Dezvoltării a anunțat semnarea primelor contracte din România finanțate prin PNRR</w:t>
      </w:r>
      <w:bookmarkEnd w:id="150"/>
    </w:p>
    <w:p w14:paraId="6805D0F7"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Primele 7 contracte din România, finanțate din Planul National de Redresare și Reziliență, în valoare de peste 92 milioane de lei, au fost semnate ieri, 7 iunie 2022, de ministrul dezvoltării, Cseke Attila, în prezența prim-ministrului Nicolae-Ionel Ciucă.</w:t>
      </w:r>
    </w:p>
    <w:p w14:paraId="422E77C3"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Contractele încheiate între autorități publice locale și Ministerul Dezvoltării, Lucrărilor Publice și Administrației vizează renovarea integrată a clădirilor, iar valoarea totală a acestora este de 92.796.724,19 lei.</w:t>
      </w:r>
    </w:p>
    <w:p w14:paraId="0BB53A20"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Contractele de finanțare semnate vizează:</w:t>
      </w:r>
    </w:p>
    <w:p w14:paraId="42839FA3" w14:textId="77777777" w:rsidR="000C58A2" w:rsidRPr="009840C9" w:rsidRDefault="000C58A2" w:rsidP="00CF784D">
      <w:pPr>
        <w:numPr>
          <w:ilvl w:val="0"/>
          <w:numId w:val="23"/>
        </w:numPr>
        <w:rPr>
          <w:color w:val="313131"/>
          <w:szCs w:val="18"/>
        </w:rPr>
      </w:pPr>
      <w:r w:rsidRPr="009840C9">
        <w:rPr>
          <w:color w:val="313131"/>
          <w:szCs w:val="18"/>
        </w:rPr>
        <w:t>renovarea integrată a corpurilor de clădire C1 și C2 ale Liceului Teoretic ”Mihail Kogălniceanu” din comuna Mihail Kogălniceanu (jud. Constanța) - 15.478.862,07 lei;</w:t>
      </w:r>
    </w:p>
    <w:p w14:paraId="4E900B07" w14:textId="77777777" w:rsidR="000C58A2" w:rsidRPr="009840C9" w:rsidRDefault="000C58A2" w:rsidP="00CF784D">
      <w:pPr>
        <w:numPr>
          <w:ilvl w:val="0"/>
          <w:numId w:val="23"/>
        </w:numPr>
        <w:rPr>
          <w:color w:val="313131"/>
          <w:szCs w:val="18"/>
        </w:rPr>
      </w:pPr>
      <w:r w:rsidRPr="009840C9">
        <w:rPr>
          <w:color w:val="313131"/>
          <w:szCs w:val="18"/>
        </w:rPr>
        <w:t>reabilitarea și modernizarea Școlii gimnaziale Băcel dincomuna Chichiș (jud. Covasna) - 2.692.694,26 lei;</w:t>
      </w:r>
    </w:p>
    <w:p w14:paraId="0703EB15" w14:textId="77777777" w:rsidR="000C58A2" w:rsidRPr="009840C9" w:rsidRDefault="000C58A2" w:rsidP="00CF784D">
      <w:pPr>
        <w:numPr>
          <w:ilvl w:val="0"/>
          <w:numId w:val="23"/>
        </w:numPr>
        <w:rPr>
          <w:color w:val="313131"/>
          <w:szCs w:val="18"/>
        </w:rPr>
      </w:pPr>
      <w:r w:rsidRPr="009840C9">
        <w:rPr>
          <w:color w:val="313131"/>
          <w:szCs w:val="18"/>
        </w:rPr>
        <w:t>reabilitarea, modernizarea și dotarea sediului Primăriei din comuna Bârca (jud. Dolj) - 6.233.394,48 lei;</w:t>
      </w:r>
    </w:p>
    <w:p w14:paraId="3C5E2872" w14:textId="77777777" w:rsidR="000C58A2" w:rsidRPr="009840C9" w:rsidRDefault="000C58A2" w:rsidP="00CF784D">
      <w:pPr>
        <w:numPr>
          <w:ilvl w:val="0"/>
          <w:numId w:val="23"/>
        </w:numPr>
        <w:rPr>
          <w:color w:val="313131"/>
          <w:szCs w:val="18"/>
        </w:rPr>
      </w:pPr>
      <w:r w:rsidRPr="009840C9">
        <w:rPr>
          <w:color w:val="313131"/>
          <w:szCs w:val="18"/>
        </w:rPr>
        <w:t>renovarea integrată și consolidarea sediului Primăriei din comuna Brebeni (jud. Olt) - 2.676.339,86 lei;</w:t>
      </w:r>
    </w:p>
    <w:p w14:paraId="03427083" w14:textId="77777777" w:rsidR="000C58A2" w:rsidRPr="009840C9" w:rsidRDefault="000C58A2" w:rsidP="00CF784D">
      <w:pPr>
        <w:numPr>
          <w:ilvl w:val="0"/>
          <w:numId w:val="23"/>
        </w:numPr>
        <w:rPr>
          <w:color w:val="313131"/>
          <w:szCs w:val="18"/>
        </w:rPr>
      </w:pPr>
      <w:r w:rsidRPr="009840C9">
        <w:rPr>
          <w:color w:val="313131"/>
          <w:szCs w:val="18"/>
        </w:rPr>
        <w:t>reabilitarea și eficientizarea termică a clădirii Primăriei din municipiul Fălticeni (jud. Suceava) - 6.784.047,70 lei;</w:t>
      </w:r>
    </w:p>
    <w:p w14:paraId="26E315ED" w14:textId="77777777" w:rsidR="000C58A2" w:rsidRPr="009840C9" w:rsidRDefault="000C58A2" w:rsidP="00CF784D">
      <w:pPr>
        <w:numPr>
          <w:ilvl w:val="0"/>
          <w:numId w:val="23"/>
        </w:numPr>
        <w:rPr>
          <w:color w:val="313131"/>
          <w:szCs w:val="18"/>
        </w:rPr>
      </w:pPr>
      <w:r w:rsidRPr="009840C9">
        <w:rPr>
          <w:color w:val="313131"/>
          <w:szCs w:val="18"/>
        </w:rPr>
        <w:t>renovarea integrată a Colegiului Național ”Vasile Alecsandri” Bacău - 29.680.208,66 lei;</w:t>
      </w:r>
    </w:p>
    <w:p w14:paraId="70CCF1C0" w14:textId="77777777" w:rsidR="000C58A2" w:rsidRPr="009840C9" w:rsidRDefault="000C58A2" w:rsidP="00CF784D">
      <w:pPr>
        <w:numPr>
          <w:ilvl w:val="0"/>
          <w:numId w:val="23"/>
        </w:numPr>
        <w:rPr>
          <w:color w:val="313131"/>
          <w:szCs w:val="18"/>
        </w:rPr>
      </w:pPr>
      <w:r w:rsidRPr="009840C9">
        <w:rPr>
          <w:color w:val="313131"/>
          <w:szCs w:val="18"/>
        </w:rPr>
        <w:t>creșterea eficienței energetice a sediului administrativ al Consiliului Județean Satu Mare - 29.251.177,16 lei.</w:t>
      </w:r>
    </w:p>
    <w:p w14:paraId="01633CA1"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Ministrul a amintit: în perioada 1 aprilie - 30 mai 2022, au fost depuse peste 1.437 de cereri de finanțare, iar fondul total de peste 2 miliarde de euro a fost accesat integral și depășit.</w:t>
      </w:r>
    </w:p>
    <w:p w14:paraId="571992ED"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După cum este cunoscut, prin Componenta C5, România beneficiază de fonduri pentru eficientizarea energetică, asigurarea siguranței seismice și la incendiu a 4.333 blocuri de locuințe și clădiri publice. Ministerul asigură și o supracontractare cu 30% a acestor fonduri, în vederea accesării integrale de către România a finanțării europene. Termenul estimat pentru finalizarea etapei de verificare este 31 iulie 2022.</w:t>
      </w:r>
    </w:p>
    <w:p w14:paraId="0B266EE9" w14:textId="77777777" w:rsidR="000C58A2" w:rsidRPr="009840C9" w:rsidRDefault="000C58A2" w:rsidP="009840C9">
      <w:pPr>
        <w:pStyle w:val="Stilsursa"/>
      </w:pPr>
      <w:r w:rsidRPr="009840C9">
        <w:t>Sursa: MDLPA </w:t>
      </w:r>
    </w:p>
    <w:p w14:paraId="3EA21A74" w14:textId="5C79934B" w:rsidR="000C58A2" w:rsidRPr="009840C9" w:rsidRDefault="000C58A2" w:rsidP="009840C9">
      <w:pPr>
        <w:pStyle w:val="separatorarticole"/>
      </w:pPr>
      <w:r w:rsidRPr="009840C9">
        <w:t>*</w:t>
      </w:r>
    </w:p>
    <w:p w14:paraId="425E1845" w14:textId="77777777" w:rsidR="004F1430" w:rsidRPr="009840C9" w:rsidRDefault="004F1430" w:rsidP="009840C9">
      <w:pPr>
        <w:pStyle w:val="TitluArticolinINFOUE"/>
        <w:rPr>
          <w:lang w:eastAsia="ro-RO"/>
        </w:rPr>
      </w:pPr>
      <w:bookmarkStart w:id="151" w:name="_Toc106112252"/>
      <w:r w:rsidRPr="009840C9">
        <w:t>Ministrul Boloș: A doua cerere de plată pe PNRR urmează să fie depusă în cursul lunii octombrie a acestui an</w:t>
      </w:r>
      <w:bookmarkEnd w:id="151"/>
    </w:p>
    <w:p w14:paraId="61040A8D"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Ieri, 6 iunie 2022, la finalul Comitetului interministerial de coordonare pentru implementarea Planului Național de Redresare și Reziliență, ministrul Investițiilor și Proiectelor Europene a trecut în revistă stadiul în care se află pregătirile României pentru a putea absorbi banii europeni disponibili prin PNRR. </w:t>
      </w:r>
    </w:p>
    <w:p w14:paraId="7315BEA0"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xml:space="preserve">Ca urmare a depunerii la finalul lunii mai 2022 a primei cereri de plată pe PNRR, ministrul Boloș a specificat faptul că este posibil ca în perioada următoare România să primească observații sau clarificări </w:t>
      </w:r>
      <w:r w:rsidRPr="009840C9">
        <w:rPr>
          <w:rFonts w:ascii="Verdana" w:hAnsi="Verdana"/>
          <w:color w:val="313131"/>
          <w:sz w:val="18"/>
          <w:szCs w:val="18"/>
        </w:rPr>
        <w:lastRenderedPageBreak/>
        <w:t>din partea Comisiei Europene: „</w:t>
      </w:r>
      <w:r w:rsidRPr="009840C9">
        <w:rPr>
          <w:rStyle w:val="Emphasis"/>
          <w:color w:val="313131"/>
        </w:rPr>
        <w:t>Este perioada în care Comisia Europeană e posibil să mai transmită observații sau clarificări la jaloanele care deja au fost îndeplinite. Reamintesc că am avut un număr de 21 de jaloane obligație de îndeplinit până la sfârșitul anului 2021, iar din acest punct de vedere, până la momentul la care se efectuează plata pentru cererea de rambursare, Comisia Europeană mai are dreptul să solicite aceste clarificări pentru obținerea de informații suplimentare</w:t>
      </w:r>
      <w:r w:rsidRPr="009840C9">
        <w:rPr>
          <w:rFonts w:ascii="Verdana" w:hAnsi="Verdana"/>
          <w:color w:val="313131"/>
          <w:sz w:val="18"/>
          <w:szCs w:val="18"/>
        </w:rPr>
        <w:t>”. </w:t>
      </w:r>
    </w:p>
    <w:p w14:paraId="243F068C"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ceea ce privește cea de-a doua cerere de plată, ministrul Investițiilor și Proiectelor Europene a anunțat că aceasta va fi depusă „în cursul lunii octombrie a acestui an, când România are de încasat suma de 3 miliarde de euro”.</w:t>
      </w:r>
    </w:p>
    <w:p w14:paraId="20EAFD9B"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Astfel, potrivit acestuia, România trebuie să aibă în cursul anului 2022 suma de 10 miliarde euro din PNRR: „Ar trebui să avem această sumă după depunerea cererii de plată numărul 2 din cursul lunii octombrie. Sigur, e un demers pe care îl facem cu regularitate, pentru a ne asigura că la termenele, pe care le avem fixate pentru depunerea cererilor de plată, toate jaloanele sunt validate și, repet, sunt validate cu Comisia Europeană, pentru că așa după cum am precizat de nenumărate ori, procesul de validare a jaloanelor poate să dureze până la efectuarea plăților către statul membru, respectiv până la data la care Comisia Europeană virează banii în contul României”.</w:t>
      </w:r>
    </w:p>
    <w:p w14:paraId="5223D362" w14:textId="77777777" w:rsidR="004F1430" w:rsidRPr="009840C9" w:rsidRDefault="004F1430" w:rsidP="009840C9">
      <w:pPr>
        <w:pStyle w:val="Stilsursa"/>
      </w:pPr>
      <w:r w:rsidRPr="009840C9">
        <w:t>Sursa: Guvernul României </w:t>
      </w:r>
    </w:p>
    <w:p w14:paraId="5E4BC394" w14:textId="4371329D" w:rsidR="004F1430" w:rsidRPr="009840C9" w:rsidRDefault="004F1430" w:rsidP="009840C9">
      <w:pPr>
        <w:pStyle w:val="separatorarticole"/>
      </w:pPr>
      <w:r w:rsidRPr="009840C9">
        <w:t>*</w:t>
      </w:r>
    </w:p>
    <w:p w14:paraId="6B18A344" w14:textId="77777777" w:rsidR="004F1430" w:rsidRPr="009840C9" w:rsidRDefault="004F1430" w:rsidP="009840C9">
      <w:pPr>
        <w:pStyle w:val="TitluArticolinINFOUE"/>
        <w:rPr>
          <w:lang w:eastAsia="ro-RO"/>
        </w:rPr>
      </w:pPr>
      <w:bookmarkStart w:id="152" w:name="_Toc106112253"/>
      <w:r w:rsidRPr="009840C9">
        <w:t>PNRR: Ghidurile pentru dezvoltarea și reabilitarea infrastructurii sociale pentru persoanele cu dizabilități, lansate spre consultare publică!</w:t>
      </w:r>
      <w:bookmarkEnd w:id="152"/>
    </w:p>
    <w:p w14:paraId="46570D71"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Ministerul Muncii și Solidarității Sociale a lansat în consultare publică ghidurile specifice pentru două apeluri de proiecte, aferente Investiției 2 - Reabilitarea, renovarea și dezvoltarea infrastructurii sociale pentru persoanele cu dizabilități și Subinvestiția I2.2  - Dezvoltarea infrastructurii sociale pentru persoanele cu dizabilități din cadrul Planului Național de Redresare și Reziliență al României, Componenta 13 - Reforme sociale</w:t>
      </w:r>
    </w:p>
    <w:p w14:paraId="14AB9466"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Obiectivul investiției</w:t>
      </w:r>
      <w:r w:rsidRPr="009840C9">
        <w:rPr>
          <w:rFonts w:ascii="Verdana" w:hAnsi="Verdana"/>
          <w:color w:val="313131"/>
          <w:sz w:val="18"/>
          <w:szCs w:val="18"/>
        </w:rPr>
        <w:t>: creșterea calității vieții persoanelor cu dizabilități instituționalizate și prevenirea instituționalizării persoanelor cu dizabilități, concomitent cu dezvoltarea serviciilor alternative de sprijin pentru viaţă independentă şi integrare în comunitate.</w:t>
      </w:r>
    </w:p>
    <w:p w14:paraId="1568D98F"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I. Reabilitarea, renovarea și dezvoltarea infrastructurii sociale pentru persoanele cu dizabilități:</w:t>
      </w:r>
    </w:p>
    <w:p w14:paraId="726F07E1" w14:textId="77777777" w:rsidR="004F1430" w:rsidRPr="009840C9" w:rsidRDefault="004F1430" w:rsidP="00CF784D">
      <w:pPr>
        <w:numPr>
          <w:ilvl w:val="0"/>
          <w:numId w:val="10"/>
        </w:numPr>
        <w:rPr>
          <w:color w:val="313131"/>
          <w:szCs w:val="18"/>
        </w:rPr>
      </w:pPr>
      <w:r w:rsidRPr="009840C9">
        <w:rPr>
          <w:color w:val="313131"/>
          <w:szCs w:val="18"/>
        </w:rPr>
        <w:t>tipul I – 1 centru de zi</w:t>
      </w:r>
    </w:p>
    <w:p w14:paraId="288E4723" w14:textId="77777777" w:rsidR="004F1430" w:rsidRPr="009840C9" w:rsidRDefault="004F1430" w:rsidP="00CF784D">
      <w:pPr>
        <w:numPr>
          <w:ilvl w:val="0"/>
          <w:numId w:val="10"/>
        </w:numPr>
        <w:rPr>
          <w:color w:val="313131"/>
          <w:szCs w:val="18"/>
        </w:rPr>
      </w:pPr>
      <w:r w:rsidRPr="009840C9">
        <w:rPr>
          <w:color w:val="313131"/>
          <w:szCs w:val="18"/>
        </w:rPr>
        <w:t>tipul II – 1 centru de servicii de recuperare neuromotorie de tip ambulatoriu.</w:t>
      </w:r>
    </w:p>
    <w:p w14:paraId="754BE20D"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Finanțarea acordată</w:t>
      </w:r>
      <w:r w:rsidRPr="009840C9">
        <w:rPr>
          <w:rFonts w:ascii="Verdana" w:hAnsi="Verdana"/>
          <w:color w:val="313131"/>
          <w:sz w:val="18"/>
          <w:szCs w:val="18"/>
        </w:rPr>
        <w:t> pe tipuri de servicii sociale propuse a fi înființate este de 774.015,81 lei.</w:t>
      </w:r>
    </w:p>
    <w:p w14:paraId="7B2C12D7"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Estimare distribuție costuri:</w:t>
      </w:r>
    </w:p>
    <w:p w14:paraId="64DBC7B3" w14:textId="77777777" w:rsidR="004F1430" w:rsidRPr="009840C9" w:rsidRDefault="004F1430" w:rsidP="00CF784D">
      <w:pPr>
        <w:numPr>
          <w:ilvl w:val="0"/>
          <w:numId w:val="11"/>
        </w:numPr>
        <w:rPr>
          <w:color w:val="313131"/>
          <w:szCs w:val="18"/>
        </w:rPr>
      </w:pPr>
      <w:r w:rsidRPr="009840C9">
        <w:rPr>
          <w:color w:val="313131"/>
          <w:szCs w:val="18"/>
        </w:rPr>
        <w:t>Cost reabilitare și accesibilizare: 95.430 Euro = 469.773,26 lei (1 euro = 4.9227 lei)</w:t>
      </w:r>
    </w:p>
    <w:p w14:paraId="5E891922" w14:textId="77777777" w:rsidR="004F1430" w:rsidRPr="009840C9" w:rsidRDefault="004F1430" w:rsidP="00CF784D">
      <w:pPr>
        <w:numPr>
          <w:ilvl w:val="0"/>
          <w:numId w:val="11"/>
        </w:numPr>
        <w:rPr>
          <w:color w:val="313131"/>
          <w:szCs w:val="18"/>
        </w:rPr>
      </w:pPr>
      <w:r w:rsidRPr="009840C9">
        <w:rPr>
          <w:color w:val="313131"/>
          <w:szCs w:val="18"/>
        </w:rPr>
        <w:t>Cost dotare: 61.804 Euro = 304.242,55 lei (1 euro = 4.9227 lei)</w:t>
      </w:r>
    </w:p>
    <w:p w14:paraId="4C9617E6"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Solicitanţi eligibili</w:t>
      </w:r>
      <w:r w:rsidRPr="009840C9">
        <w:rPr>
          <w:rFonts w:ascii="Verdana" w:hAnsi="Verdana"/>
          <w:color w:val="313131"/>
          <w:sz w:val="18"/>
          <w:szCs w:val="18"/>
        </w:rPr>
        <w:t>: Direcţiile generale de asistenţă socială şi protecţia copilului judeţene/locale ale sectoarelor municipiului Bucureşti sau UAT, prin serviciile publice de asistenţă socială (SPAS)/direcțiile de asistență socială (DAS), cuprinse în anexa 7 la prezentul Ghid.</w:t>
      </w:r>
    </w:p>
    <w:p w14:paraId="351FB7A2"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Parteneri eligibili:</w:t>
      </w:r>
    </w:p>
    <w:p w14:paraId="1CD49CF8" w14:textId="77777777" w:rsidR="004F1430" w:rsidRPr="009840C9" w:rsidRDefault="004F1430" w:rsidP="00CF784D">
      <w:pPr>
        <w:numPr>
          <w:ilvl w:val="0"/>
          <w:numId w:val="12"/>
        </w:numPr>
        <w:rPr>
          <w:color w:val="313131"/>
          <w:szCs w:val="18"/>
        </w:rPr>
      </w:pPr>
      <w:r w:rsidRPr="009840C9">
        <w:rPr>
          <w:color w:val="313131"/>
          <w:szCs w:val="18"/>
        </w:rPr>
        <w:t>furnizori de servicii sociale privaţi, acreditați: organizații neguvernamentale care desfăşoară activităţi în domeniul protecţiei persoanelor cu dizabilităţi;</w:t>
      </w:r>
    </w:p>
    <w:p w14:paraId="239684C7" w14:textId="77777777" w:rsidR="004F1430" w:rsidRPr="009840C9" w:rsidRDefault="004F1430" w:rsidP="00CF784D">
      <w:pPr>
        <w:numPr>
          <w:ilvl w:val="0"/>
          <w:numId w:val="12"/>
        </w:numPr>
        <w:rPr>
          <w:color w:val="313131"/>
          <w:szCs w:val="18"/>
        </w:rPr>
      </w:pPr>
      <w:r w:rsidRPr="009840C9">
        <w:rPr>
          <w:color w:val="313131"/>
          <w:szCs w:val="18"/>
        </w:rPr>
        <w:t>furnizori de servicii sociale publici, acreditaţi: UAT, prin serviciile publice de asistenţă socială (SPAS).</w:t>
      </w:r>
    </w:p>
    <w:p w14:paraId="60707FFC"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u w:val="single"/>
        </w:rPr>
        <w:t>Calendar estimativ</w:t>
      </w:r>
    </w:p>
    <w:p w14:paraId="56EAE181" w14:textId="77777777" w:rsidR="004F1430" w:rsidRPr="009840C9" w:rsidRDefault="004F1430" w:rsidP="00CF784D">
      <w:pPr>
        <w:numPr>
          <w:ilvl w:val="0"/>
          <w:numId w:val="13"/>
        </w:numPr>
        <w:rPr>
          <w:color w:val="313131"/>
          <w:szCs w:val="18"/>
        </w:rPr>
      </w:pPr>
      <w:r w:rsidRPr="009840C9">
        <w:rPr>
          <w:color w:val="313131"/>
          <w:szCs w:val="18"/>
        </w:rPr>
        <w:t>Termen estimat lansare apel de proiecte: 10 august 2022.</w:t>
      </w:r>
    </w:p>
    <w:p w14:paraId="0BD9EE7A" w14:textId="77777777" w:rsidR="004F1430" w:rsidRPr="009840C9" w:rsidRDefault="004F1430" w:rsidP="00CF784D">
      <w:pPr>
        <w:numPr>
          <w:ilvl w:val="0"/>
          <w:numId w:val="13"/>
        </w:numPr>
        <w:rPr>
          <w:color w:val="313131"/>
          <w:szCs w:val="18"/>
        </w:rPr>
      </w:pPr>
      <w:r w:rsidRPr="009840C9">
        <w:rPr>
          <w:color w:val="313131"/>
          <w:szCs w:val="18"/>
        </w:rPr>
        <w:t>Termen estimat evaluare proiecte: 10 august 2022 - 10 noiembrie 2022.</w:t>
      </w:r>
    </w:p>
    <w:p w14:paraId="429E8547" w14:textId="77777777" w:rsidR="004F1430" w:rsidRPr="009840C9" w:rsidRDefault="004F1430" w:rsidP="00CF784D">
      <w:pPr>
        <w:numPr>
          <w:ilvl w:val="0"/>
          <w:numId w:val="13"/>
        </w:numPr>
        <w:rPr>
          <w:color w:val="313131"/>
          <w:szCs w:val="18"/>
        </w:rPr>
      </w:pPr>
      <w:r w:rsidRPr="009840C9">
        <w:rPr>
          <w:color w:val="313131"/>
          <w:szCs w:val="18"/>
        </w:rPr>
        <w:lastRenderedPageBreak/>
        <w:t>Termen estimat semnare contracte de finanțare: 11 noiembrie 2022 – 15 decembrie 2022.</w:t>
      </w:r>
    </w:p>
    <w:p w14:paraId="566BCF28" w14:textId="77777777" w:rsidR="004F1430" w:rsidRPr="009840C9" w:rsidRDefault="00306065" w:rsidP="009840C9">
      <w:pPr>
        <w:pStyle w:val="NormalWeb"/>
        <w:spacing w:before="120" w:beforeAutospacing="0" w:after="0" w:afterAutospacing="0"/>
        <w:rPr>
          <w:rFonts w:ascii="Verdana" w:hAnsi="Verdana"/>
          <w:color w:val="313131"/>
          <w:sz w:val="18"/>
          <w:szCs w:val="18"/>
        </w:rPr>
      </w:pPr>
      <w:hyperlink r:id="rId27" w:tgtFrame="_blank" w:history="1">
        <w:r w:rsidR="004F1430" w:rsidRPr="009840C9">
          <w:rPr>
            <w:rStyle w:val="Emphasis"/>
            <w:b/>
            <w:bCs/>
            <w:color w:val="0000FF"/>
            <w:u w:val="single"/>
          </w:rPr>
          <w:t>Descarcă</w:t>
        </w:r>
      </w:hyperlink>
      <w:r w:rsidR="004F1430" w:rsidRPr="009840C9">
        <w:rPr>
          <w:rFonts w:ascii="Verdana" w:hAnsi="Verdana"/>
          <w:color w:val="313131"/>
          <w:sz w:val="18"/>
          <w:szCs w:val="18"/>
        </w:rPr>
        <w:t> ghidul</w:t>
      </w:r>
    </w:p>
    <w:p w14:paraId="00F70D9F"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II. Subinvestiția I2.2 Dezvoltarea infrastructurii sociale pentru persoanele cu dizabilități:</w:t>
      </w:r>
    </w:p>
    <w:p w14:paraId="20D2494E" w14:textId="77777777" w:rsidR="004F1430" w:rsidRPr="009840C9" w:rsidRDefault="004F1430" w:rsidP="00CF784D">
      <w:pPr>
        <w:numPr>
          <w:ilvl w:val="0"/>
          <w:numId w:val="14"/>
        </w:numPr>
        <w:rPr>
          <w:color w:val="313131"/>
          <w:szCs w:val="18"/>
        </w:rPr>
      </w:pPr>
      <w:r w:rsidRPr="009840C9">
        <w:rPr>
          <w:color w:val="313131"/>
          <w:szCs w:val="18"/>
        </w:rPr>
        <w:t>tipul I – 1 centru de zi/centru de servicii de recuperare neuromotorie de tip ambulatoriu/centru de servicii de asistență și suport, cu o valoare de 3.681.586,19 lei/ serviciu;</w:t>
      </w:r>
    </w:p>
    <w:p w14:paraId="3E53062F" w14:textId="77777777" w:rsidR="004F1430" w:rsidRPr="009840C9" w:rsidRDefault="004F1430" w:rsidP="00CF784D">
      <w:pPr>
        <w:numPr>
          <w:ilvl w:val="0"/>
          <w:numId w:val="14"/>
        </w:numPr>
        <w:rPr>
          <w:color w:val="313131"/>
          <w:szCs w:val="18"/>
        </w:rPr>
      </w:pPr>
      <w:r w:rsidRPr="009840C9">
        <w:rPr>
          <w:color w:val="313131"/>
          <w:szCs w:val="18"/>
        </w:rPr>
        <w:t>tipul II – 1 centru de servicii de recuperare neuromotorie de tip ambulatoriu/ centru de servicii de asistență și suport (la standardele nZEB), cu o valoare de 4.448.050,58 lei/serviciu;</w:t>
      </w:r>
    </w:p>
    <w:p w14:paraId="12211E0B"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Solicitanţi eligibili:</w:t>
      </w:r>
      <w:r w:rsidRPr="009840C9">
        <w:rPr>
          <w:rFonts w:ascii="Verdana" w:hAnsi="Verdana"/>
          <w:color w:val="313131"/>
          <w:sz w:val="18"/>
          <w:szCs w:val="18"/>
        </w:rPr>
        <w:t> Direcţiile generale de asistenţă socială şi protecţia copilului judeţene/locale ale sectoarelor municipiului Bucureşti sau UAT, prin serviciile publice de asistenţă socială (SPAS)/direcțiile de asistență socială (DAS).</w:t>
      </w:r>
    </w:p>
    <w:p w14:paraId="1B8A4971"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rPr>
        <w:t>Parteneri eligibili:</w:t>
      </w:r>
    </w:p>
    <w:p w14:paraId="2330256E" w14:textId="77777777" w:rsidR="004F1430" w:rsidRPr="009840C9" w:rsidRDefault="004F1430" w:rsidP="00CF784D">
      <w:pPr>
        <w:numPr>
          <w:ilvl w:val="0"/>
          <w:numId w:val="15"/>
        </w:numPr>
        <w:rPr>
          <w:color w:val="313131"/>
          <w:szCs w:val="18"/>
        </w:rPr>
      </w:pPr>
      <w:r w:rsidRPr="009840C9">
        <w:rPr>
          <w:color w:val="313131"/>
          <w:szCs w:val="18"/>
        </w:rPr>
        <w:t>furnizori de servicii sociale privaţi, acreditați: organizații neguvernamentale care desfăşoară activităţi în domeniul protecţiei persoanelor cu dizabilităţi;</w:t>
      </w:r>
    </w:p>
    <w:p w14:paraId="0918BB57" w14:textId="77777777" w:rsidR="004F1430" w:rsidRPr="009840C9" w:rsidRDefault="004F1430" w:rsidP="00CF784D">
      <w:pPr>
        <w:numPr>
          <w:ilvl w:val="0"/>
          <w:numId w:val="15"/>
        </w:numPr>
        <w:rPr>
          <w:color w:val="313131"/>
          <w:szCs w:val="18"/>
        </w:rPr>
      </w:pPr>
      <w:r w:rsidRPr="009840C9">
        <w:rPr>
          <w:color w:val="313131"/>
          <w:szCs w:val="18"/>
        </w:rPr>
        <w:t>furnizori de servicii sociale publici, acreditaţi: UAT, prin serviciile publice de asistenţă socială (SPAS)/direcțiile de asistență socială (DAS).</w:t>
      </w:r>
    </w:p>
    <w:p w14:paraId="14D7ABEF"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Style w:val="Strong"/>
          <w:color w:val="313131"/>
          <w:u w:val="single"/>
        </w:rPr>
        <w:t>Calendar estimativ</w:t>
      </w:r>
    </w:p>
    <w:p w14:paraId="30EBB390" w14:textId="77777777" w:rsidR="004F1430" w:rsidRPr="009840C9" w:rsidRDefault="004F1430" w:rsidP="00CF784D">
      <w:pPr>
        <w:numPr>
          <w:ilvl w:val="0"/>
          <w:numId w:val="16"/>
        </w:numPr>
        <w:rPr>
          <w:color w:val="313131"/>
          <w:szCs w:val="18"/>
        </w:rPr>
      </w:pPr>
      <w:r w:rsidRPr="009840C9">
        <w:rPr>
          <w:color w:val="313131"/>
          <w:szCs w:val="18"/>
        </w:rPr>
        <w:t>Termen estimat lansare apel de proiecte: 30 august 2022</w:t>
      </w:r>
    </w:p>
    <w:p w14:paraId="5D545694" w14:textId="77777777" w:rsidR="004F1430" w:rsidRPr="009840C9" w:rsidRDefault="004F1430" w:rsidP="00CF784D">
      <w:pPr>
        <w:numPr>
          <w:ilvl w:val="0"/>
          <w:numId w:val="16"/>
        </w:numPr>
        <w:rPr>
          <w:color w:val="313131"/>
          <w:szCs w:val="18"/>
        </w:rPr>
      </w:pPr>
      <w:r w:rsidRPr="009840C9">
        <w:rPr>
          <w:color w:val="313131"/>
          <w:szCs w:val="18"/>
        </w:rPr>
        <w:t>Termen estimat evaluare proiecte: 1 septembrie 2022 – 29 noiembrie 2022</w:t>
      </w:r>
    </w:p>
    <w:p w14:paraId="078A5F9C" w14:textId="77777777" w:rsidR="004F1430" w:rsidRPr="009840C9" w:rsidRDefault="004F1430" w:rsidP="00CF784D">
      <w:pPr>
        <w:numPr>
          <w:ilvl w:val="0"/>
          <w:numId w:val="16"/>
        </w:numPr>
        <w:rPr>
          <w:color w:val="313131"/>
          <w:szCs w:val="18"/>
        </w:rPr>
      </w:pPr>
      <w:r w:rsidRPr="009840C9">
        <w:rPr>
          <w:color w:val="313131"/>
          <w:szCs w:val="18"/>
        </w:rPr>
        <w:t>Termen estimat semnare contracte de finanțare: 2 decembrie 2022 – 31 decembrie 2022.</w:t>
      </w:r>
    </w:p>
    <w:p w14:paraId="6282901A" w14:textId="77777777" w:rsidR="004F1430" w:rsidRPr="009840C9" w:rsidRDefault="00306065" w:rsidP="009840C9">
      <w:pPr>
        <w:pStyle w:val="NormalWeb"/>
        <w:spacing w:before="120" w:beforeAutospacing="0" w:after="0" w:afterAutospacing="0"/>
        <w:rPr>
          <w:rFonts w:ascii="Verdana" w:hAnsi="Verdana"/>
          <w:color w:val="313131"/>
          <w:sz w:val="18"/>
          <w:szCs w:val="18"/>
        </w:rPr>
      </w:pPr>
      <w:hyperlink r:id="rId28" w:tgtFrame="_blank" w:history="1">
        <w:r w:rsidR="004F1430" w:rsidRPr="009840C9">
          <w:rPr>
            <w:rStyle w:val="Emphasis"/>
            <w:b/>
            <w:bCs/>
            <w:color w:val="0000FF"/>
            <w:u w:val="single"/>
          </w:rPr>
          <w:t>Descarcă</w:t>
        </w:r>
      </w:hyperlink>
      <w:r w:rsidR="004F1430" w:rsidRPr="009840C9">
        <w:rPr>
          <w:rFonts w:ascii="Verdana" w:hAnsi="Verdana"/>
          <w:color w:val="313131"/>
          <w:sz w:val="18"/>
          <w:szCs w:val="18"/>
        </w:rPr>
        <w:t> ghidul</w:t>
      </w:r>
    </w:p>
    <w:p w14:paraId="45DF2AA2"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Observațiile și sugestiile pot fi transmise până pe data de </w:t>
      </w:r>
      <w:r w:rsidRPr="009840C9">
        <w:rPr>
          <w:rStyle w:val="Strong"/>
          <w:color w:val="313131"/>
        </w:rPr>
        <w:t>30.06.2022</w:t>
      </w:r>
      <w:r w:rsidRPr="009840C9">
        <w:rPr>
          <w:rFonts w:ascii="Verdana" w:hAnsi="Verdana"/>
          <w:color w:val="313131"/>
          <w:sz w:val="18"/>
          <w:szCs w:val="18"/>
        </w:rPr>
        <w:t>, la adresa de email </w:t>
      </w:r>
      <w:hyperlink r:id="rId29" w:history="1">
        <w:r w:rsidRPr="009840C9">
          <w:rPr>
            <w:rStyle w:val="Hyperlink"/>
          </w:rPr>
          <w:t>contact.pnrr@mmuncii.gov.ro</w:t>
        </w:r>
      </w:hyperlink>
      <w:r w:rsidRPr="009840C9">
        <w:rPr>
          <w:rFonts w:ascii="Verdana" w:hAnsi="Verdana"/>
          <w:color w:val="313131"/>
          <w:sz w:val="18"/>
          <w:szCs w:val="18"/>
        </w:rPr>
        <w:t>.</w:t>
      </w:r>
    </w:p>
    <w:p w14:paraId="1D7365FD" w14:textId="77777777" w:rsidR="004F1430" w:rsidRPr="009840C9" w:rsidRDefault="004F1430" w:rsidP="009840C9">
      <w:pPr>
        <w:pStyle w:val="Stilsursa"/>
      </w:pPr>
      <w:r w:rsidRPr="009840C9">
        <w:t> Sursa: ADR Centru </w:t>
      </w:r>
    </w:p>
    <w:p w14:paraId="1552B452" w14:textId="6F1C6C48" w:rsidR="004F1430" w:rsidRPr="009840C9" w:rsidRDefault="004F1430" w:rsidP="009840C9">
      <w:pPr>
        <w:pStyle w:val="separatorarticole"/>
      </w:pPr>
      <w:r w:rsidRPr="009840C9">
        <w:t>*</w:t>
      </w:r>
    </w:p>
    <w:p w14:paraId="0100051A" w14:textId="77777777" w:rsidR="000B1F81" w:rsidRPr="009840C9" w:rsidRDefault="000B1F81" w:rsidP="009840C9">
      <w:pPr>
        <w:pStyle w:val="TitluArticolinINFOUE"/>
        <w:rPr>
          <w:lang w:eastAsia="ro-RO"/>
        </w:rPr>
      </w:pPr>
      <w:bookmarkStart w:id="153" w:name="_Toc106112254"/>
      <w:r w:rsidRPr="009840C9">
        <w:t>A fost aprobat contractul de finanțare pentru intermedierea de fonduri în valoare de 300 milioane euro din PNRR</w:t>
      </w:r>
      <w:bookmarkEnd w:id="153"/>
    </w:p>
    <w:p w14:paraId="6CDE6707"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Acordarea de fonduri în valoare de 300 milioane euro pentru digitalizare, acțiune climatică și alte domenii de interes, finanțate din Planul Național de Redresare și Reziliență va fi intermediată de Banca Europeană de Investiții (BEI). Contractul de finanțare încheiat de Ministerul Investițiilor și Proiectelor Europene (MIPE) cu BEI a fost aprobat, în ședința de Guvern de joi, 2 iunie 2022.</w:t>
      </w:r>
    </w:p>
    <w:p w14:paraId="2B236E75"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Finanțările în valoare de 300 milioane euro fac parte din „Investiția 2 – Instrumente financiare pentru sectorul privat” , în valoare de 1,25 miliarde euro, din cadrul componentei 9 a PNRR – „Suport pentru sectorul privat, cercetare, dezvoltare și inovare”, care include o serie de reforme și investiții menite să consolideze mediul de afaceri autohton. Contractul va fi gestionat de BEI  conform modelului fondului de fonduri.</w:t>
      </w:r>
    </w:p>
    <w:p w14:paraId="09513C2C"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BEI va gestiona finanțarea de 300 milioane euro prin două sub-fonduri, cu alocări inițiale de câte 150 milioane euro, astfel:</w:t>
      </w:r>
    </w:p>
    <w:p w14:paraId="0C7E2A45"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Style w:val="Strong"/>
          <w:color w:val="313131"/>
        </w:rPr>
        <w:t>Împrumut implementat direct de către BEI:</w:t>
      </w:r>
    </w:p>
    <w:p w14:paraId="5F285B14" w14:textId="77777777" w:rsidR="000B1F81" w:rsidRPr="009840C9" w:rsidRDefault="000B1F81" w:rsidP="00CF784D">
      <w:pPr>
        <w:numPr>
          <w:ilvl w:val="0"/>
          <w:numId w:val="6"/>
        </w:numPr>
        <w:rPr>
          <w:color w:val="313131"/>
          <w:szCs w:val="18"/>
        </w:rPr>
      </w:pPr>
      <w:r w:rsidRPr="009840C9">
        <w:rPr>
          <w:color w:val="313131"/>
          <w:szCs w:val="18"/>
        </w:rPr>
        <w:t>suma alocată utilizată ca garanție în numerar pentru fiecare împrumut va fi stabilită de către BEI și nu va constitui mai mult de 35% din valoarea împrumutului BEI;</w:t>
      </w:r>
    </w:p>
    <w:p w14:paraId="2A3AE915" w14:textId="77777777" w:rsidR="000B1F81" w:rsidRPr="009840C9" w:rsidRDefault="000B1F81" w:rsidP="00CF784D">
      <w:pPr>
        <w:numPr>
          <w:ilvl w:val="0"/>
          <w:numId w:val="6"/>
        </w:numPr>
        <w:rPr>
          <w:color w:val="313131"/>
          <w:szCs w:val="18"/>
        </w:rPr>
      </w:pPr>
      <w:r w:rsidRPr="009840C9">
        <w:rPr>
          <w:color w:val="313131"/>
          <w:szCs w:val="18"/>
        </w:rPr>
        <w:t>este estimat un efect multiplicator de cel puțin 5,1 din valoarea fondurilor alocate;</w:t>
      </w:r>
    </w:p>
    <w:p w14:paraId="310C83CD" w14:textId="77777777" w:rsidR="000B1F81" w:rsidRPr="009840C9" w:rsidRDefault="000B1F81" w:rsidP="00CF784D">
      <w:pPr>
        <w:numPr>
          <w:ilvl w:val="0"/>
          <w:numId w:val="6"/>
        </w:numPr>
        <w:rPr>
          <w:color w:val="313131"/>
          <w:szCs w:val="18"/>
        </w:rPr>
      </w:pPr>
      <w:r w:rsidRPr="009840C9">
        <w:rPr>
          <w:color w:val="313131"/>
          <w:szCs w:val="18"/>
        </w:rPr>
        <w:t>împrumuturile vor fi acordate pe o perioadă maximum 15 ani pentru sectorul energetic și de max. 12 ani pentru toate celelalte sectoare.</w:t>
      </w:r>
    </w:p>
    <w:p w14:paraId="482919A7"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Style w:val="Strong"/>
          <w:color w:val="313131"/>
        </w:rPr>
        <w:lastRenderedPageBreak/>
        <w:t>Produs de garantare intermediat de BEI:</w:t>
      </w:r>
    </w:p>
    <w:p w14:paraId="6BC9EEC3" w14:textId="77777777" w:rsidR="000B1F81" w:rsidRPr="009840C9" w:rsidRDefault="000B1F81" w:rsidP="00CF784D">
      <w:pPr>
        <w:numPr>
          <w:ilvl w:val="0"/>
          <w:numId w:val="7"/>
        </w:numPr>
        <w:rPr>
          <w:color w:val="313131"/>
          <w:szCs w:val="18"/>
        </w:rPr>
      </w:pPr>
      <w:r w:rsidRPr="009840C9">
        <w:rPr>
          <w:color w:val="313131"/>
          <w:szCs w:val="18"/>
        </w:rPr>
        <w:t>riscul de credit va fi asigurat pentru fiecare tranzacție în parte, acoperind sumele neplătite în conformitate cu rata de garantare a împrumuturilor acordate de intermediarii financiari și până la acoperirea maximă a riscului. Rata de garantare va fi stabilită la 80%;</w:t>
      </w:r>
    </w:p>
    <w:p w14:paraId="3CD9998A" w14:textId="77777777" w:rsidR="000B1F81" w:rsidRPr="009840C9" w:rsidRDefault="000B1F81" w:rsidP="00CF784D">
      <w:pPr>
        <w:numPr>
          <w:ilvl w:val="0"/>
          <w:numId w:val="7"/>
        </w:numPr>
        <w:rPr>
          <w:color w:val="313131"/>
          <w:szCs w:val="18"/>
        </w:rPr>
      </w:pPr>
      <w:r w:rsidRPr="009840C9">
        <w:rPr>
          <w:color w:val="313131"/>
          <w:szCs w:val="18"/>
        </w:rPr>
        <w:t>garanția va fi acordată pe o perioadă de 15 ani (sau 25 de ani pentru proiectele implementate de municipalități). Pot fi incluse și împrumuturile către beneficiari finali cu o scadență care depășește durata garanției;</w:t>
      </w:r>
    </w:p>
    <w:p w14:paraId="02E40FCA" w14:textId="77777777" w:rsidR="000B1F81" w:rsidRPr="009840C9" w:rsidRDefault="000B1F81" w:rsidP="00CF784D">
      <w:pPr>
        <w:numPr>
          <w:ilvl w:val="0"/>
          <w:numId w:val="7"/>
        </w:numPr>
        <w:rPr>
          <w:color w:val="313131"/>
          <w:szCs w:val="18"/>
        </w:rPr>
      </w:pPr>
      <w:r w:rsidRPr="009840C9">
        <w:rPr>
          <w:color w:val="313131"/>
          <w:szCs w:val="18"/>
        </w:rPr>
        <w:t>este estimat un efect multiplicator de până la 6,25 din valoarea fondurilor alocate.</w:t>
      </w:r>
    </w:p>
    <w:p w14:paraId="023E64E5"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cadrul celor două instrumente financiare gestionate de BEI, vor fi alocate fonduri astfel:</w:t>
      </w:r>
    </w:p>
    <w:p w14:paraId="2EB154A0" w14:textId="77777777" w:rsidR="000B1F81" w:rsidRPr="009840C9" w:rsidRDefault="000B1F81" w:rsidP="00CF784D">
      <w:pPr>
        <w:numPr>
          <w:ilvl w:val="0"/>
          <w:numId w:val="8"/>
        </w:numPr>
        <w:rPr>
          <w:color w:val="313131"/>
          <w:szCs w:val="18"/>
        </w:rPr>
      </w:pPr>
      <w:r w:rsidRPr="009840C9">
        <w:rPr>
          <w:color w:val="313131"/>
          <w:szCs w:val="18"/>
        </w:rPr>
        <w:t>minimum </w:t>
      </w:r>
      <w:r w:rsidRPr="009840C9">
        <w:rPr>
          <w:rStyle w:val="Strong"/>
          <w:color w:val="313131"/>
        </w:rPr>
        <w:t>100 milioane euro pentru intervenții în domeniul climei</w:t>
      </w:r>
      <w:r w:rsidRPr="009840C9">
        <w:rPr>
          <w:color w:val="313131"/>
          <w:szCs w:val="18"/>
        </w:rPr>
        <w:t>;</w:t>
      </w:r>
    </w:p>
    <w:p w14:paraId="640847C6" w14:textId="77777777" w:rsidR="000B1F81" w:rsidRPr="009840C9" w:rsidRDefault="000B1F81" w:rsidP="00CF784D">
      <w:pPr>
        <w:numPr>
          <w:ilvl w:val="0"/>
          <w:numId w:val="8"/>
        </w:numPr>
        <w:rPr>
          <w:color w:val="313131"/>
          <w:szCs w:val="18"/>
        </w:rPr>
      </w:pPr>
      <w:r w:rsidRPr="009840C9">
        <w:rPr>
          <w:rStyle w:val="Strong"/>
          <w:color w:val="313131"/>
        </w:rPr>
        <w:t>50 milioane euro pentru intervenții în domeniul digitalizării</w:t>
      </w:r>
      <w:r w:rsidRPr="009840C9">
        <w:rPr>
          <w:color w:val="313131"/>
          <w:szCs w:val="18"/>
        </w:rPr>
        <w:t>.</w:t>
      </w:r>
    </w:p>
    <w:p w14:paraId="2CB65E55"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Conform estimărilor, prin aceste instrumente vor fi acordate peste </w:t>
      </w:r>
      <w:r w:rsidRPr="009840C9">
        <w:rPr>
          <w:rStyle w:val="Strong"/>
          <w:color w:val="313131"/>
        </w:rPr>
        <w:t>25 de finanțări pentru întreprinderi mari</w:t>
      </w:r>
      <w:r w:rsidRPr="009840C9">
        <w:rPr>
          <w:rFonts w:ascii="Verdana" w:hAnsi="Verdana"/>
          <w:color w:val="313131"/>
          <w:sz w:val="18"/>
          <w:szCs w:val="18"/>
        </w:rPr>
        <w:t> (cu peste 500 de angajați și/sau o cifră de afaceri anuală de peste 50 de milioane euro), </w:t>
      </w:r>
      <w:r w:rsidRPr="009840C9">
        <w:rPr>
          <w:rStyle w:val="Strong"/>
          <w:color w:val="313131"/>
        </w:rPr>
        <w:t>entități publice</w:t>
      </w:r>
      <w:r w:rsidRPr="009840C9">
        <w:rPr>
          <w:rFonts w:ascii="Verdana" w:hAnsi="Verdana"/>
          <w:color w:val="313131"/>
          <w:sz w:val="18"/>
          <w:szCs w:val="18"/>
        </w:rPr>
        <w:t> (municipalități) și </w:t>
      </w:r>
      <w:r w:rsidRPr="009840C9">
        <w:rPr>
          <w:rStyle w:val="Strong"/>
          <w:color w:val="313131"/>
        </w:rPr>
        <w:t>vehicule cu scop special</w:t>
      </w:r>
      <w:r w:rsidRPr="009840C9">
        <w:rPr>
          <w:rFonts w:ascii="Verdana" w:hAnsi="Verdana"/>
          <w:color w:val="313131"/>
          <w:sz w:val="18"/>
          <w:szCs w:val="18"/>
        </w:rPr>
        <w:t> (Special Purpose Vehicle – SPV). Nivelul comisioanelor de management percepute de BEI a fost plafonat la 6% din sumă alocată, pentru întreaga perioadă de eligibilitate.</w:t>
      </w:r>
    </w:p>
    <w:p w14:paraId="6B4DAFD4" w14:textId="77777777" w:rsidR="000B1F81" w:rsidRPr="009840C9" w:rsidRDefault="000B1F81"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Suplimentar, viitoarele venituri obținute din gestionarea celor două instrumente financiare, inclusiv cele din rambursări, vor fi utilizate pentru acordarea acelorași tipuri de finanțări și după ce România va încheia implementarea PNRR, se arată în comunicatul MIPE.</w:t>
      </w:r>
    </w:p>
    <w:p w14:paraId="1E5F46C3" w14:textId="77777777" w:rsidR="000B1F81" w:rsidRPr="009840C9" w:rsidRDefault="000B1F81" w:rsidP="009840C9">
      <w:pPr>
        <w:pStyle w:val="Stilsursa"/>
      </w:pPr>
      <w:r w:rsidRPr="009840C9">
        <w:t>Sursa: MIPE</w:t>
      </w:r>
    </w:p>
    <w:p w14:paraId="44A6ED75" w14:textId="482A6C4C" w:rsidR="000B1F81" w:rsidRPr="009840C9" w:rsidRDefault="000B1F81" w:rsidP="009840C9">
      <w:pPr>
        <w:pStyle w:val="separatorarticole"/>
      </w:pPr>
      <w:r w:rsidRPr="009840C9">
        <w:t>*</w:t>
      </w:r>
    </w:p>
    <w:p w14:paraId="06CAD010" w14:textId="10311530" w:rsidR="00607517" w:rsidRDefault="00607517" w:rsidP="007423C9">
      <w:pPr>
        <w:spacing w:before="240"/>
        <w:ind w:right="198"/>
        <w:jc w:val="center"/>
        <w:rPr>
          <w:color w:val="9999FF"/>
          <w:spacing w:val="40"/>
          <w:sz w:val="16"/>
          <w:szCs w:val="16"/>
        </w:rPr>
      </w:pPr>
      <w:bookmarkStart w:id="154" w:name="_Toc101174490"/>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7423C9">
      <w:pPr>
        <w:pStyle w:val="Consultare"/>
        <w:tabs>
          <w:tab w:val="left" w:pos="2835"/>
        </w:tabs>
      </w:pPr>
      <w:bookmarkStart w:id="155" w:name="_Toc106112255"/>
      <w:r>
        <w:t>Consultări publice</w:t>
      </w:r>
      <w:bookmarkEnd w:id="154"/>
      <w:bookmarkEnd w:id="155"/>
    </w:p>
    <w:p w14:paraId="54DFB94E" w14:textId="77777777" w:rsidR="0002538C" w:rsidRPr="00E138A6" w:rsidRDefault="0002538C" w:rsidP="00E138A6">
      <w:pPr>
        <w:pStyle w:val="TitluArticolinINFOUE"/>
        <w:rPr>
          <w:lang w:eastAsia="ro-RO"/>
        </w:rPr>
      </w:pPr>
      <w:bookmarkStart w:id="156" w:name="_Toc106112256"/>
      <w:r w:rsidRPr="00E138A6">
        <w:t>Consultare publică pentru suplimentarea bugetului pe „Competențe digitale pentru angajații din IMM”! Toate cele 73 de proiecte aflate pe lista de rezervă ar putea fi finanțate</w:t>
      </w:r>
      <w:bookmarkEnd w:id="156"/>
    </w:p>
    <w:p w14:paraId="70A81122" w14:textId="77777777" w:rsidR="0002538C" w:rsidRPr="00E138A6" w:rsidRDefault="0002538C" w:rsidP="00E138A6">
      <w:pPr>
        <w:pStyle w:val="NormalWeb"/>
        <w:spacing w:before="0" w:beforeAutospacing="0" w:after="150" w:afterAutospacing="0"/>
        <w:rPr>
          <w:rFonts w:ascii="Verdana" w:hAnsi="Verdana"/>
          <w:color w:val="313131"/>
          <w:sz w:val="18"/>
          <w:szCs w:val="18"/>
        </w:rPr>
      </w:pPr>
      <w:r w:rsidRPr="00E138A6">
        <w:rPr>
          <w:rFonts w:ascii="Verdana" w:hAnsi="Verdana"/>
          <w:color w:val="313131"/>
          <w:sz w:val="18"/>
          <w:szCs w:val="18"/>
        </w:rPr>
        <w:t>Ministerul Investițiilor și Proiectelor Europene a lansat spre consultare publică, astăzi, 10 iunie 2022, Hotărâre a Guvernului pentru modificarea Hotărârii Guvernului nr. 599/2020 privind aprobarea Programului național Competențe digitale pentru angajații din sectorul întreprinderilor mici și mijlocii, finanțat în cadrul Programului operațional Capital uman 2014-2020. </w:t>
      </w:r>
    </w:p>
    <w:p w14:paraId="7AA63F8E" w14:textId="77777777" w:rsidR="0002538C" w:rsidRPr="00E138A6" w:rsidRDefault="0002538C" w:rsidP="00E138A6">
      <w:pPr>
        <w:pStyle w:val="NormalWeb"/>
        <w:spacing w:before="0" w:beforeAutospacing="0" w:after="150" w:afterAutospacing="0"/>
        <w:rPr>
          <w:rFonts w:ascii="Verdana" w:hAnsi="Verdana"/>
          <w:color w:val="313131"/>
          <w:sz w:val="18"/>
          <w:szCs w:val="18"/>
        </w:rPr>
      </w:pPr>
      <w:r w:rsidRPr="00E138A6">
        <w:rPr>
          <w:rFonts w:ascii="Verdana" w:hAnsi="Verdana"/>
          <w:color w:val="313131"/>
          <w:sz w:val="18"/>
          <w:szCs w:val="18"/>
        </w:rPr>
        <w:t>Analizând rezultatele finale ale procesului de evaluare și selecție se constată faptul că:</w:t>
      </w:r>
    </w:p>
    <w:p w14:paraId="56E134AD" w14:textId="77777777" w:rsidR="0002538C" w:rsidRPr="00E138A6" w:rsidRDefault="0002538C" w:rsidP="00E138A6">
      <w:pPr>
        <w:numPr>
          <w:ilvl w:val="0"/>
          <w:numId w:val="44"/>
        </w:numPr>
        <w:spacing w:before="100" w:beforeAutospacing="1" w:after="100" w:afterAutospacing="1"/>
        <w:rPr>
          <w:color w:val="313131"/>
          <w:szCs w:val="18"/>
        </w:rPr>
      </w:pPr>
      <w:r w:rsidRPr="00E138A6">
        <w:rPr>
          <w:color w:val="313131"/>
          <w:szCs w:val="18"/>
        </w:rPr>
        <w:t>au fost aprobate 95 de proiecte cu o valoare totală eligibilă de 419.427.085,06 lei (echivalentul 86.805.555,91 euro) reprezentând 434,03% din alocarea inițială. Aceste 95 de proiecte contribuie la sprijinirea unui număr de minim 2.375 întreprinderi și la sprijinirea, prin programe de formare în vederea dobândirii de competențe digitale de bază și competențe digitale avansate, a unui număr de minim 23.750 angajați.</w:t>
      </w:r>
    </w:p>
    <w:p w14:paraId="18AEC810" w14:textId="77777777" w:rsidR="0002538C" w:rsidRPr="00E138A6" w:rsidRDefault="0002538C" w:rsidP="00E138A6">
      <w:pPr>
        <w:numPr>
          <w:ilvl w:val="0"/>
          <w:numId w:val="44"/>
        </w:numPr>
        <w:spacing w:before="100" w:beforeAutospacing="1" w:after="100" w:afterAutospacing="1"/>
        <w:rPr>
          <w:color w:val="313131"/>
          <w:szCs w:val="18"/>
        </w:rPr>
      </w:pPr>
      <w:r w:rsidRPr="00E138A6">
        <w:rPr>
          <w:color w:val="313131"/>
          <w:szCs w:val="18"/>
        </w:rPr>
        <w:t>din cele 95 de  proiecte aprobate, cu o valoare totală eligibilă de 419.427.085,06 lei (echivalentul 86.805.555,91 euro), au fost finanțate doar 22 de proiecte  cu o valoare totală eligibilă de 20.796.007,29 euro,  prin care sunt sprijinite 575 de IMM-uri, fiind derulate de programe de formare profesională pentru un număr de 5.750 de angajați;</w:t>
      </w:r>
    </w:p>
    <w:p w14:paraId="043DC0EB" w14:textId="77777777" w:rsidR="0002538C" w:rsidRPr="00E138A6" w:rsidRDefault="0002538C" w:rsidP="00E138A6">
      <w:pPr>
        <w:numPr>
          <w:ilvl w:val="0"/>
          <w:numId w:val="44"/>
        </w:numPr>
        <w:spacing w:before="100" w:beforeAutospacing="1" w:after="100" w:afterAutospacing="1"/>
        <w:rPr>
          <w:color w:val="313131"/>
          <w:szCs w:val="18"/>
        </w:rPr>
      </w:pPr>
      <w:r w:rsidRPr="00E138A6">
        <w:rPr>
          <w:color w:val="313131"/>
          <w:szCs w:val="18"/>
        </w:rPr>
        <w:t>prin cele 73 de proiecte care se află pe lista de rezerve, în valoare totală eligibilă de 318.944.937,02 lei (echivalentul 66.009.548,62 euro) urmează să fie sprijinite încă 1825 de IMM -uri și vor fi derulate programe de formare profesională pentru un număr de 18.250 de angajați.</w:t>
      </w:r>
    </w:p>
    <w:p w14:paraId="501EA633" w14:textId="77777777" w:rsidR="0002538C" w:rsidRPr="00E138A6" w:rsidRDefault="0002538C" w:rsidP="00E138A6">
      <w:pPr>
        <w:pStyle w:val="NormalWeb"/>
        <w:spacing w:before="0" w:beforeAutospacing="0" w:after="150" w:afterAutospacing="0"/>
        <w:rPr>
          <w:rFonts w:ascii="Verdana" w:hAnsi="Verdana"/>
          <w:color w:val="313131"/>
          <w:sz w:val="18"/>
          <w:szCs w:val="18"/>
        </w:rPr>
      </w:pPr>
      <w:r w:rsidRPr="00E138A6">
        <w:rPr>
          <w:rFonts w:ascii="Verdana" w:hAnsi="Verdana"/>
          <w:color w:val="313131"/>
          <w:sz w:val="18"/>
          <w:szCs w:val="18"/>
        </w:rPr>
        <w:t>Potrivit notei de fundamentare, prin actul normativ se propune suplimentarea apelului astfel:</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529"/>
        <w:gridCol w:w="5009"/>
      </w:tblGrid>
      <w:tr w:rsidR="0002538C" w:rsidRPr="00E138A6" w14:paraId="64C6EFFA" w14:textId="77777777" w:rsidTr="00E138A6">
        <w:trPr>
          <w:trHeight w:val="382"/>
        </w:trPr>
        <w:tc>
          <w:tcPr>
            <w:tcW w:w="237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DAE086"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lastRenderedPageBreak/>
              <w:t>Alocare inițială</w:t>
            </w:r>
          </w:p>
        </w:tc>
        <w:tc>
          <w:tcPr>
            <w:tcW w:w="262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E44108" w14:textId="77777777" w:rsidR="0002538C" w:rsidRPr="00E138A6" w:rsidRDefault="0002538C" w:rsidP="00E138A6">
            <w:pPr>
              <w:pStyle w:val="NormalWeb"/>
              <w:spacing w:before="0" w:beforeAutospacing="0" w:after="150" w:afterAutospacing="0"/>
              <w:jc w:val="center"/>
              <w:rPr>
                <w:rFonts w:ascii="Verdana" w:hAnsi="Verdana"/>
                <w:sz w:val="18"/>
                <w:szCs w:val="18"/>
              </w:rPr>
            </w:pPr>
            <w:r w:rsidRPr="00E138A6">
              <w:rPr>
                <w:rFonts w:ascii="Verdana" w:hAnsi="Verdana"/>
                <w:sz w:val="18"/>
                <w:szCs w:val="18"/>
              </w:rPr>
              <w:t>96.636.000,00  lei</w:t>
            </w:r>
          </w:p>
          <w:p w14:paraId="0C9FAD45"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(20.000.000,00 euro)</w:t>
            </w:r>
          </w:p>
        </w:tc>
      </w:tr>
      <w:tr w:rsidR="0002538C" w:rsidRPr="00E138A6" w14:paraId="776CA76E" w14:textId="77777777" w:rsidTr="00E138A6">
        <w:trPr>
          <w:trHeight w:val="351"/>
        </w:trPr>
        <w:tc>
          <w:tcPr>
            <w:tcW w:w="237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F147B3"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Alocare modificată prin HG 196 din 10 februarie 2022</w:t>
            </w:r>
          </w:p>
        </w:tc>
        <w:tc>
          <w:tcPr>
            <w:tcW w:w="262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587DDC" w14:textId="77777777" w:rsidR="0002538C" w:rsidRPr="00E138A6" w:rsidRDefault="0002538C" w:rsidP="00E138A6">
            <w:pPr>
              <w:pStyle w:val="NormalWeb"/>
              <w:spacing w:before="0" w:beforeAutospacing="0" w:after="150" w:afterAutospacing="0"/>
              <w:jc w:val="center"/>
              <w:rPr>
                <w:rFonts w:ascii="Verdana" w:hAnsi="Verdana"/>
                <w:sz w:val="18"/>
                <w:szCs w:val="18"/>
              </w:rPr>
            </w:pPr>
            <w:r w:rsidRPr="00E138A6">
              <w:rPr>
                <w:rFonts w:ascii="Verdana" w:hAnsi="Verdana"/>
                <w:sz w:val="18"/>
                <w:szCs w:val="18"/>
              </w:rPr>
              <w:t>100.482.148,04 lei</w:t>
            </w:r>
          </w:p>
          <w:p w14:paraId="62E146F9"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(20.796.007,29 euro)</w:t>
            </w:r>
          </w:p>
        </w:tc>
      </w:tr>
      <w:tr w:rsidR="0002538C" w:rsidRPr="00E138A6" w14:paraId="5BAD2948" w14:textId="77777777" w:rsidTr="00E138A6">
        <w:trPr>
          <w:trHeight w:val="163"/>
        </w:trPr>
        <w:tc>
          <w:tcPr>
            <w:tcW w:w="237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601329"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Total necesar pentru contractarea celor 95 de proiecte admise</w:t>
            </w:r>
          </w:p>
        </w:tc>
        <w:tc>
          <w:tcPr>
            <w:tcW w:w="262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CBCA75" w14:textId="77777777" w:rsidR="0002538C" w:rsidRPr="00E138A6" w:rsidRDefault="0002538C" w:rsidP="00E138A6">
            <w:pPr>
              <w:pStyle w:val="NormalWeb"/>
              <w:spacing w:before="0" w:beforeAutospacing="0" w:after="150" w:afterAutospacing="0"/>
              <w:jc w:val="center"/>
              <w:rPr>
                <w:rFonts w:ascii="Verdana" w:hAnsi="Verdana"/>
                <w:sz w:val="18"/>
                <w:szCs w:val="18"/>
              </w:rPr>
            </w:pPr>
            <w:r w:rsidRPr="00E138A6">
              <w:rPr>
                <w:rFonts w:ascii="Verdana" w:hAnsi="Verdana"/>
                <w:sz w:val="18"/>
                <w:szCs w:val="18"/>
              </w:rPr>
              <w:t>419.427.085,06 lei</w:t>
            </w:r>
          </w:p>
          <w:p w14:paraId="3322DE0B"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(86.805.555,91 euro)</w:t>
            </w:r>
          </w:p>
        </w:tc>
      </w:tr>
      <w:tr w:rsidR="0002538C" w:rsidRPr="00E138A6" w14:paraId="098FFF63" w14:textId="77777777" w:rsidTr="00E138A6">
        <w:trPr>
          <w:trHeight w:val="245"/>
        </w:trPr>
        <w:tc>
          <w:tcPr>
            <w:tcW w:w="237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158E78"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Style w:val="Strong"/>
              </w:rPr>
              <w:t>Necesar pentru suplimentare</w:t>
            </w:r>
          </w:p>
        </w:tc>
        <w:tc>
          <w:tcPr>
            <w:tcW w:w="262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0746DE" w14:textId="77777777" w:rsidR="0002538C" w:rsidRPr="00E138A6" w:rsidRDefault="0002538C" w:rsidP="00E138A6">
            <w:pPr>
              <w:pStyle w:val="NormalWeb"/>
              <w:spacing w:before="0" w:beforeAutospacing="0" w:after="150" w:afterAutospacing="0"/>
              <w:jc w:val="center"/>
              <w:rPr>
                <w:rFonts w:ascii="Verdana" w:hAnsi="Verdana"/>
                <w:sz w:val="18"/>
                <w:szCs w:val="18"/>
              </w:rPr>
            </w:pPr>
            <w:r w:rsidRPr="00E138A6">
              <w:rPr>
                <w:rFonts w:ascii="Verdana" w:hAnsi="Verdana"/>
                <w:sz w:val="18"/>
                <w:szCs w:val="18"/>
              </w:rPr>
              <w:t>318.944.937,02 lei</w:t>
            </w:r>
          </w:p>
          <w:p w14:paraId="3536921C" w14:textId="77777777" w:rsidR="0002538C" w:rsidRPr="00E138A6" w:rsidRDefault="0002538C" w:rsidP="00E138A6">
            <w:pPr>
              <w:pStyle w:val="NormalWeb"/>
              <w:spacing w:before="0" w:beforeAutospacing="0" w:after="0" w:afterAutospacing="0"/>
              <w:jc w:val="center"/>
              <w:rPr>
                <w:rFonts w:ascii="Verdana" w:hAnsi="Verdana"/>
                <w:sz w:val="18"/>
                <w:szCs w:val="18"/>
              </w:rPr>
            </w:pPr>
            <w:r w:rsidRPr="00E138A6">
              <w:rPr>
                <w:rFonts w:ascii="Verdana" w:hAnsi="Verdana"/>
                <w:sz w:val="18"/>
                <w:szCs w:val="18"/>
              </w:rPr>
              <w:t>(66.009.548,62 euro)</w:t>
            </w:r>
          </w:p>
        </w:tc>
      </w:tr>
    </w:tbl>
    <w:p w14:paraId="744529D1" w14:textId="77777777" w:rsidR="0002538C" w:rsidRPr="00E138A6" w:rsidRDefault="0002538C" w:rsidP="00E138A6">
      <w:pPr>
        <w:pStyle w:val="NormalWeb"/>
        <w:spacing w:before="0" w:beforeAutospacing="0" w:after="150" w:afterAutospacing="0"/>
        <w:rPr>
          <w:rFonts w:ascii="Verdana" w:hAnsi="Verdana"/>
          <w:color w:val="313131"/>
          <w:sz w:val="18"/>
          <w:szCs w:val="18"/>
        </w:rPr>
      </w:pPr>
      <w:r w:rsidRPr="00E138A6">
        <w:rPr>
          <w:rFonts w:ascii="Verdana" w:hAnsi="Verdana"/>
          <w:color w:val="313131"/>
          <w:sz w:val="18"/>
          <w:szCs w:val="18"/>
        </w:rPr>
        <w:t>Potrivit documentului, sumele necesare pentru suplimentarea programului se vor constitui din disponibilul financiar existent la nivelul axei prioritare 3 Locuri de muncă pentru toți din Programul Operațional Capital Uman 2014-2020, nefiind astfel generat un impact financiar la nivelul bugetului de stat.</w:t>
      </w:r>
    </w:p>
    <w:p w14:paraId="1C622140" w14:textId="77777777" w:rsidR="0002538C" w:rsidRPr="00E138A6" w:rsidRDefault="0002538C" w:rsidP="00E138A6">
      <w:pPr>
        <w:pStyle w:val="NormalWeb"/>
        <w:spacing w:before="0" w:beforeAutospacing="0" w:after="150" w:afterAutospacing="0"/>
        <w:rPr>
          <w:rFonts w:ascii="Verdana" w:hAnsi="Verdana"/>
          <w:color w:val="313131"/>
          <w:sz w:val="18"/>
          <w:szCs w:val="18"/>
        </w:rPr>
      </w:pPr>
      <w:hyperlink r:id="rId30" w:tgtFrame="_blank" w:history="1">
        <w:r w:rsidRPr="00E138A6">
          <w:rPr>
            <w:rStyle w:val="Emphasis"/>
            <w:b/>
            <w:bCs/>
            <w:color w:val="0000FF"/>
            <w:u w:val="single"/>
          </w:rPr>
          <w:t>Descarcă</w:t>
        </w:r>
      </w:hyperlink>
      <w:r w:rsidRPr="00E138A6">
        <w:rPr>
          <w:rFonts w:ascii="Verdana" w:hAnsi="Verdana"/>
          <w:color w:val="313131"/>
          <w:sz w:val="18"/>
          <w:szCs w:val="18"/>
        </w:rPr>
        <w:t> documentul</w:t>
      </w:r>
    </w:p>
    <w:p w14:paraId="7BA2647F" w14:textId="77777777" w:rsidR="0002538C" w:rsidRPr="00E138A6" w:rsidRDefault="0002538C" w:rsidP="00E138A6">
      <w:pPr>
        <w:pStyle w:val="NormalWeb"/>
        <w:spacing w:before="0" w:beforeAutospacing="0" w:after="150" w:afterAutospacing="0"/>
        <w:rPr>
          <w:rFonts w:ascii="Verdana" w:hAnsi="Verdana"/>
          <w:color w:val="313131"/>
          <w:sz w:val="18"/>
          <w:szCs w:val="18"/>
        </w:rPr>
      </w:pPr>
      <w:r w:rsidRPr="00E138A6">
        <w:rPr>
          <w:rFonts w:ascii="Verdana" w:hAnsi="Verdana"/>
          <w:color w:val="313131"/>
          <w:sz w:val="18"/>
          <w:szCs w:val="18"/>
        </w:rPr>
        <w:t>Actul normativ se află în consultare timp de 10 zile calendaristice de la lansare, respectiv 10 iunie 2022. Propunerile și sugestiile de modificare pot fi transmise la adresa </w:t>
      </w:r>
      <w:hyperlink r:id="rId31" w:history="1">
        <w:r w:rsidRPr="00E138A6">
          <w:rPr>
            <w:rStyle w:val="Hyperlink"/>
          </w:rPr>
          <w:t>acte.normative@mfe.gov.ro</w:t>
        </w:r>
      </w:hyperlink>
      <w:r w:rsidRPr="00E138A6">
        <w:rPr>
          <w:rFonts w:ascii="Verdana" w:hAnsi="Verdana"/>
          <w:color w:val="313131"/>
          <w:sz w:val="18"/>
          <w:szCs w:val="18"/>
        </w:rPr>
        <w:t>. </w:t>
      </w:r>
    </w:p>
    <w:p w14:paraId="512DFFD6" w14:textId="77777777" w:rsidR="0002538C" w:rsidRPr="00E138A6" w:rsidRDefault="0002538C" w:rsidP="00E138A6">
      <w:pPr>
        <w:pStyle w:val="Stilsursa"/>
      </w:pPr>
      <w:r w:rsidRPr="00E138A6">
        <w:t>Sursa: MIPE </w:t>
      </w:r>
    </w:p>
    <w:p w14:paraId="51F67EB6" w14:textId="6CBC9506" w:rsidR="0002538C" w:rsidRPr="00E138A6" w:rsidRDefault="0002538C" w:rsidP="00E138A6">
      <w:pPr>
        <w:pStyle w:val="separatorarticole"/>
      </w:pPr>
      <w:r w:rsidRPr="00E138A6">
        <w:t>*</w:t>
      </w:r>
    </w:p>
    <w:p w14:paraId="0B39627A" w14:textId="77777777" w:rsidR="004F1430" w:rsidRPr="009840C9" w:rsidRDefault="004F1430" w:rsidP="009840C9">
      <w:pPr>
        <w:pStyle w:val="TitluArticolinINFOUE"/>
        <w:rPr>
          <w:lang w:eastAsia="ro-RO"/>
        </w:rPr>
      </w:pPr>
      <w:bookmarkStart w:id="157" w:name="_Toc106112257"/>
      <w:r w:rsidRPr="009840C9">
        <w:t>Dezbatere publică pe marginea documentelor aferente Programului Operațional Dezvoltare Durabilă 2021-2027</w:t>
      </w:r>
      <w:bookmarkEnd w:id="157"/>
    </w:p>
    <w:p w14:paraId="5B8F13D7"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cadrul derulării procedurii de evaluare de mediu pentru Programul Operațional Dezvoltare Durabilă, Ministerul Investițiilor și Proiectelor Europene a anunțat publicul interesat asupra disponibilizării </w:t>
      </w:r>
      <w:hyperlink r:id="rId32" w:tgtFrame="_blank" w:history="1">
        <w:r w:rsidRPr="009840C9">
          <w:rPr>
            <w:rStyle w:val="Hyperlink"/>
          </w:rPr>
          <w:t>proiectului de program</w:t>
        </w:r>
      </w:hyperlink>
      <w:r w:rsidRPr="009840C9">
        <w:rPr>
          <w:rFonts w:ascii="Verdana" w:hAnsi="Verdana"/>
          <w:color w:val="313131"/>
          <w:sz w:val="18"/>
          <w:szCs w:val="18"/>
        </w:rPr>
        <w:t>, finalizarea </w:t>
      </w:r>
      <w:hyperlink r:id="rId33" w:tgtFrame="_blank" w:history="1">
        <w:r w:rsidRPr="009840C9">
          <w:rPr>
            <w:rStyle w:val="Hyperlink"/>
          </w:rPr>
          <w:t>Raportului de mediu</w:t>
        </w:r>
      </w:hyperlink>
      <w:r w:rsidRPr="009840C9">
        <w:rPr>
          <w:rFonts w:ascii="Verdana" w:hAnsi="Verdana"/>
          <w:color w:val="313131"/>
          <w:sz w:val="18"/>
          <w:szCs w:val="18"/>
        </w:rPr>
        <w:t> și </w:t>
      </w:r>
      <w:r w:rsidRPr="009840C9">
        <w:rPr>
          <w:rStyle w:val="Strong"/>
          <w:color w:val="313131"/>
        </w:rPr>
        <w:t>organizarea dezbaterii publice a documentelor</w:t>
      </w:r>
      <w:r w:rsidRPr="009840C9">
        <w:rPr>
          <w:rFonts w:ascii="Verdana" w:hAnsi="Verdana"/>
          <w:color w:val="313131"/>
          <w:sz w:val="18"/>
          <w:szCs w:val="18"/>
        </w:rPr>
        <w:t>, respectiv </w:t>
      </w:r>
      <w:r w:rsidRPr="009840C9">
        <w:rPr>
          <w:rStyle w:val="Strong"/>
          <w:color w:val="313131"/>
        </w:rPr>
        <w:t>21 iulie 2022, la ora 11.00</w:t>
      </w:r>
      <w:r w:rsidRPr="009840C9">
        <w:rPr>
          <w:rFonts w:ascii="Verdana" w:hAnsi="Verdana"/>
          <w:color w:val="313131"/>
          <w:sz w:val="18"/>
          <w:szCs w:val="18"/>
        </w:rPr>
        <w:t>, în sistem de videoconferința. </w:t>
      </w:r>
    </w:p>
    <w:p w14:paraId="1AF8F5BA"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Toți cei care doresc să participe activ la dezbaterea publică (exprimare puncte de vedere, întrebări etc.) se pot înscrie, ca participanți, la adresa de email </w:t>
      </w:r>
      <w:hyperlink r:id="rId34" w:history="1">
        <w:r w:rsidRPr="009840C9">
          <w:rPr>
            <w:rStyle w:val="Hyperlink"/>
          </w:rPr>
          <w:t>podd@mfe.gov.ro</w:t>
        </w:r>
      </w:hyperlink>
      <w:r w:rsidRPr="009840C9">
        <w:rPr>
          <w:rFonts w:ascii="Verdana" w:hAnsi="Verdana"/>
          <w:color w:val="313131"/>
          <w:sz w:val="18"/>
          <w:szCs w:val="18"/>
        </w:rPr>
        <w:t>. </w:t>
      </w:r>
      <w:r w:rsidRPr="009840C9">
        <w:rPr>
          <w:rStyle w:val="Strong"/>
          <w:color w:val="313131"/>
        </w:rPr>
        <w:t>Termenul limită pentru înscriere este 18 iulie 2022, ora 17:00</w:t>
      </w:r>
      <w:r w:rsidRPr="009840C9">
        <w:rPr>
          <w:rFonts w:ascii="Verdana" w:hAnsi="Verdana"/>
          <w:color w:val="313131"/>
          <w:sz w:val="18"/>
          <w:szCs w:val="18"/>
        </w:rPr>
        <w:t>.</w:t>
      </w:r>
    </w:p>
    <w:p w14:paraId="5BF79325"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Comentariile și propunerile scrise pot fi trimise la sediul MIPE din Șos. București-Ploiești nr. 1-1B, Victoria Office, Intrarea Str. Menuetului nr.7, sector 1, București) sau la sediul Ministerului Mediului Apelor și Pădurilor din B-dul Libertăţii, nr. 12, sector 5, Bucureşti, sau la adresa de e-mail </w:t>
      </w:r>
      <w:hyperlink r:id="rId35" w:history="1">
        <w:r w:rsidRPr="009840C9">
          <w:rPr>
            <w:rStyle w:val="Hyperlink"/>
          </w:rPr>
          <w:t>evaluare.impact@mmediu.ro</w:t>
        </w:r>
      </w:hyperlink>
      <w:r w:rsidRPr="009840C9">
        <w:rPr>
          <w:rFonts w:ascii="Verdana" w:hAnsi="Verdana"/>
          <w:color w:val="313131"/>
          <w:sz w:val="18"/>
          <w:szCs w:val="18"/>
        </w:rPr>
        <w:t>, până la data de 20 iulie 2022, ora 17:00.</w:t>
      </w:r>
    </w:p>
    <w:p w14:paraId="43D4E395" w14:textId="77777777" w:rsidR="004F1430" w:rsidRPr="009840C9" w:rsidRDefault="004F1430" w:rsidP="009840C9">
      <w:pPr>
        <w:pStyle w:val="Stilsursa"/>
      </w:pPr>
      <w:r w:rsidRPr="009840C9">
        <w:t>Sursa: MIPE</w:t>
      </w:r>
    </w:p>
    <w:p w14:paraId="6C9B3DFC" w14:textId="77777777" w:rsidR="00A9456F" w:rsidRDefault="00A9456F"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7423C9">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8" w:name="_Toc106112258"/>
      <w:bookmarkEnd w:id="144"/>
      <w:r w:rsidRPr="00AA06A7">
        <w:rPr>
          <w:color w:val="006600"/>
          <w:sz w:val="18"/>
          <w:szCs w:val="18"/>
        </w:rPr>
        <w:t xml:space="preserve">APELURI – </w:t>
      </w:r>
      <w:r w:rsidRPr="00AA06A7">
        <w:rPr>
          <w:color w:val="3B3838" w:themeColor="background2" w:themeShade="40"/>
          <w:sz w:val="18"/>
          <w:szCs w:val="18"/>
        </w:rPr>
        <w:t>Finanțări</w:t>
      </w:r>
      <w:bookmarkEnd w:id="158"/>
    </w:p>
    <w:p w14:paraId="046FFC0E" w14:textId="77777777" w:rsidR="001F3740" w:rsidRPr="00E138A6" w:rsidRDefault="001F3740" w:rsidP="00E138A6">
      <w:pPr>
        <w:pStyle w:val="TitluArticolinINFOUE"/>
        <w:rPr>
          <w:lang w:eastAsia="ro-RO"/>
        </w:rPr>
      </w:pPr>
      <w:bookmarkStart w:id="159" w:name="_Toc106112259"/>
      <w:r w:rsidRPr="00E138A6">
        <w:t>În prezent, Fondul pentru modernizare a pus 2,4 miliarde euro la dispoziția României și altor șase țări beneficiare</w:t>
      </w:r>
      <w:bookmarkEnd w:id="159"/>
    </w:p>
    <w:p w14:paraId="509F1895" w14:textId="77777777" w:rsidR="001F3740" w:rsidRPr="00E138A6" w:rsidRDefault="001F3740"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În prezent, Fondul pentru modernizare a pus 2,4 miliarde EUR la dispoziția a șapte țări beneficiare pentru a contribui la modernizarea sistemelor lor energetice, pentru a reduce emisiile de gaze cu efect de seră în sectorul energetic, industrial și al transporturilor și pentru a le sprijini să își îndeplinească obiectivele în materie de climă și energie pentru 2030. Investițiile au fost confirmate în România (1 391,6 milioane EUR), Cehia (520 milioane EUR), Polonia (244,2 milioane EUR), Lituania (85 milioane EUR), Ungaria (74,3 milioane EUR), Slovacia (49,5 milioane EUR) și Croația (40 milioane EUR). Aceasta încheie cel de al treilea ciclu de investiții al Fondului pentru modernizare și reprezintă o creștere bruscă a cheltuielilor în comparație cu ciclurile de investiții anterioare.</w:t>
      </w:r>
    </w:p>
    <w:p w14:paraId="027EDACF" w14:textId="77777777" w:rsidR="001F3740" w:rsidRPr="00E138A6" w:rsidRDefault="001F3740"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lastRenderedPageBreak/>
        <w:t>Fondul pentru modernizare sprijină 45 de propuneri de investiții în următoarele domenii: producția de energie electrică din surse regenerabile, modernizarea rețelelor energetice și eficiența energetică în sectorul energetic, în industrie, în clădiri și în transporturi, și înlocuirea producției de cărbune cu combustibili cu intensitate scăzută a emisiilor de carbon. Exemple de investiții sprijinite de fond sunt:</w:t>
      </w:r>
    </w:p>
    <w:p w14:paraId="579CE009" w14:textId="77777777" w:rsidR="001F3740" w:rsidRPr="00E138A6" w:rsidRDefault="001F3740" w:rsidP="00E138A6">
      <w:pPr>
        <w:numPr>
          <w:ilvl w:val="0"/>
          <w:numId w:val="40"/>
        </w:numPr>
        <w:rPr>
          <w:color w:val="313131"/>
          <w:szCs w:val="18"/>
        </w:rPr>
      </w:pPr>
      <w:r w:rsidRPr="00E138A6">
        <w:rPr>
          <w:color w:val="313131"/>
          <w:szCs w:val="18"/>
        </w:rPr>
        <w:t>modernizarea sistemelor de iluminat public din cadrul municipalităților, conversia cărbunelui în biomasă și gaz în instalațiile de termoficare și în instalațiile ETS, precum și creșterea eficienței energetice în Cehia;</w:t>
      </w:r>
    </w:p>
    <w:p w14:paraId="384B92E3" w14:textId="77777777" w:rsidR="001F3740" w:rsidRPr="00E138A6" w:rsidRDefault="001F3740" w:rsidP="00E138A6">
      <w:pPr>
        <w:numPr>
          <w:ilvl w:val="0"/>
          <w:numId w:val="40"/>
        </w:numPr>
        <w:rPr>
          <w:color w:val="313131"/>
          <w:szCs w:val="18"/>
        </w:rPr>
      </w:pPr>
      <w:r w:rsidRPr="00E138A6">
        <w:rPr>
          <w:color w:val="313131"/>
          <w:szCs w:val="18"/>
        </w:rPr>
        <w:t>producția de electricitate din surse regenerabile de energie în Croația;</w:t>
      </w:r>
    </w:p>
    <w:p w14:paraId="464EE23C" w14:textId="77777777" w:rsidR="001F3740" w:rsidRPr="00E138A6" w:rsidRDefault="001F3740" w:rsidP="00E138A6">
      <w:pPr>
        <w:numPr>
          <w:ilvl w:val="0"/>
          <w:numId w:val="40"/>
        </w:numPr>
        <w:rPr>
          <w:color w:val="313131"/>
          <w:szCs w:val="18"/>
        </w:rPr>
      </w:pPr>
      <w:r w:rsidRPr="00E138A6">
        <w:rPr>
          <w:color w:val="313131"/>
          <w:szCs w:val="18"/>
        </w:rPr>
        <w:t>renovarea clădirilor publice și creșterea eficienței energetice în Lituania;</w:t>
      </w:r>
    </w:p>
    <w:p w14:paraId="5B49F47B" w14:textId="77777777" w:rsidR="001F3740" w:rsidRPr="00E138A6" w:rsidRDefault="001F3740" w:rsidP="00E138A6">
      <w:pPr>
        <w:numPr>
          <w:ilvl w:val="0"/>
          <w:numId w:val="40"/>
        </w:numPr>
        <w:rPr>
          <w:color w:val="313131"/>
          <w:szCs w:val="18"/>
        </w:rPr>
      </w:pPr>
      <w:r w:rsidRPr="00E138A6">
        <w:rPr>
          <w:color w:val="313131"/>
          <w:szCs w:val="18"/>
        </w:rPr>
        <w:t>construirea a opt parcuri fotovoltaice și a două turbine cu gaz cu ciclu combinat, care vor înlocui lignitul cu surse regenerabile de energie și gaz pentru generarea de energie electrică și modernizarea rețelelor de energie electrică în România;</w:t>
      </w:r>
    </w:p>
    <w:p w14:paraId="3F3506F9" w14:textId="77777777" w:rsidR="001F3740" w:rsidRPr="00E138A6" w:rsidRDefault="001F3740" w:rsidP="00E138A6">
      <w:pPr>
        <w:numPr>
          <w:ilvl w:val="0"/>
          <w:numId w:val="40"/>
        </w:numPr>
        <w:rPr>
          <w:color w:val="313131"/>
          <w:szCs w:val="18"/>
        </w:rPr>
      </w:pPr>
      <w:r w:rsidRPr="00E138A6">
        <w:rPr>
          <w:color w:val="313131"/>
          <w:szCs w:val="18"/>
        </w:rPr>
        <w:t>îmbunătățirea eficienței energetice în industrie în Polonia;</w:t>
      </w:r>
    </w:p>
    <w:p w14:paraId="705954B2" w14:textId="77777777" w:rsidR="001F3740" w:rsidRPr="00E138A6" w:rsidRDefault="001F3740" w:rsidP="00E138A6">
      <w:pPr>
        <w:numPr>
          <w:ilvl w:val="0"/>
          <w:numId w:val="40"/>
        </w:numPr>
        <w:rPr>
          <w:color w:val="313131"/>
          <w:szCs w:val="18"/>
        </w:rPr>
      </w:pPr>
      <w:r w:rsidRPr="00E138A6">
        <w:rPr>
          <w:color w:val="313131"/>
          <w:szCs w:val="18"/>
        </w:rPr>
        <w:t>tranșele de stocare a energiei pentru securitatea rețelei în Ungaria;</w:t>
      </w:r>
    </w:p>
    <w:p w14:paraId="2E13337E" w14:textId="77777777" w:rsidR="001F3740" w:rsidRPr="00E138A6" w:rsidRDefault="001F3740" w:rsidP="00E138A6">
      <w:pPr>
        <w:numPr>
          <w:ilvl w:val="0"/>
          <w:numId w:val="40"/>
        </w:numPr>
        <w:rPr>
          <w:color w:val="313131"/>
          <w:szCs w:val="18"/>
        </w:rPr>
      </w:pPr>
      <w:r w:rsidRPr="00E138A6">
        <w:rPr>
          <w:color w:val="313131"/>
          <w:szCs w:val="18"/>
        </w:rPr>
        <w:t>reabilitarea și extinderea rețelelor de termoficare și răcire centralizată în Slovacia.</w:t>
      </w:r>
    </w:p>
    <w:p w14:paraId="31AB21F2" w14:textId="77777777" w:rsidR="001F3740" w:rsidRPr="00E138A6" w:rsidRDefault="001F3740"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Termenul-limită până la care statele membre beneficiare trebuie să depună propuneri de investiții pentru a obține sprijin din partea Fondului pentru modernizare în cadrul următorului ciclu de plăți este 16 august 2022 pentru propuneri neprioritare (investiții care nu intră în domeniile de prioritate ale fondului) și 13 septembrie 2022 pentru propuneri prioritare (investiții care intră în domeniile prioritare).</w:t>
      </w:r>
    </w:p>
    <w:p w14:paraId="0D420B19" w14:textId="77777777" w:rsidR="001F3740" w:rsidRPr="00E138A6" w:rsidRDefault="001F3740" w:rsidP="00E138A6">
      <w:pPr>
        <w:pStyle w:val="Stilsursa"/>
      </w:pPr>
      <w:r w:rsidRPr="00E138A6">
        <w:t>Sursa: Reprezentanța Comisiei Europene în România </w:t>
      </w:r>
    </w:p>
    <w:p w14:paraId="5689FDF7" w14:textId="39B06AD1" w:rsidR="001F3740" w:rsidRPr="00E138A6" w:rsidRDefault="001F3740" w:rsidP="00E138A6">
      <w:pPr>
        <w:pStyle w:val="separatorarticole"/>
      </w:pPr>
      <w:r w:rsidRPr="00E138A6">
        <w:t>*</w:t>
      </w:r>
    </w:p>
    <w:p w14:paraId="3C714D5E" w14:textId="77777777" w:rsidR="001514C4" w:rsidRPr="00E138A6" w:rsidRDefault="001514C4" w:rsidP="00E138A6">
      <w:pPr>
        <w:pStyle w:val="TitluArticolinINFOUE"/>
        <w:rPr>
          <w:lang w:eastAsia="ro-RO"/>
        </w:rPr>
      </w:pPr>
      <w:bookmarkStart w:id="160" w:name="_Toc106112260"/>
      <w:r w:rsidRPr="00E138A6">
        <w:t>Comisia Europeană a aprobat schema de ajutor de stat instituită prin Programul RURAL INVEST</w:t>
      </w:r>
      <w:bookmarkEnd w:id="160"/>
    </w:p>
    <w:p w14:paraId="7F91F71B"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Comisia Europeană a aprobat schema de ajutor de stat instituită prin Programul RURAL INVEST, care se derulează prin Fondul de Garantare a Creditului Rural – FGCR, finanțată din bugetul Ministerului Finanțelor, pentru întreprinderile din domeniul agriculturii, pescuitului, acvaculturii și industriei alimentare, precum și pentru întreprinderile din alte domenii decât cele menționate, care își localizează producția în mediul rural și urban mic.</w:t>
      </w:r>
    </w:p>
    <w:p w14:paraId="1DC1CF08"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Schema de ajutor de stat are o valoare totală de 606 milioane de euro și se adresează întreprinderilor a căror activitate comercială a fost afectată în perioada stării de urgență și a stării de alertă, în contextul crizei COVID-19, coroborat cu efectele războiului din Ucraina.</w:t>
      </w:r>
    </w:p>
    <w:p w14:paraId="2F302213"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Ajutorul de stat se acordă sub formă de:</w:t>
      </w:r>
    </w:p>
    <w:p w14:paraId="64980745" w14:textId="77777777" w:rsidR="001514C4" w:rsidRPr="00E138A6" w:rsidRDefault="001514C4" w:rsidP="00E138A6">
      <w:pPr>
        <w:numPr>
          <w:ilvl w:val="0"/>
          <w:numId w:val="35"/>
        </w:numPr>
        <w:rPr>
          <w:color w:val="313131"/>
          <w:szCs w:val="18"/>
        </w:rPr>
      </w:pPr>
      <w:r w:rsidRPr="00E138A6">
        <w:rPr>
          <w:color w:val="313131"/>
          <w:szCs w:val="18"/>
        </w:rPr>
        <w:t>garanții, care acoperă în proporție de maximum 90% creditele acordate de către instituții de credit;</w:t>
      </w:r>
    </w:p>
    <w:p w14:paraId="375BD023" w14:textId="77777777" w:rsidR="001514C4" w:rsidRPr="00E138A6" w:rsidRDefault="001514C4" w:rsidP="00E138A6">
      <w:pPr>
        <w:numPr>
          <w:ilvl w:val="0"/>
          <w:numId w:val="35"/>
        </w:numPr>
        <w:rPr>
          <w:color w:val="313131"/>
          <w:szCs w:val="18"/>
        </w:rPr>
      </w:pPr>
      <w:r w:rsidRPr="00E138A6">
        <w:rPr>
          <w:color w:val="313131"/>
          <w:szCs w:val="18"/>
        </w:rPr>
        <w:t>granturi în limita comisionului de administrare și plata dobânzii datorate de beneficiari o perioadă de maximum 24 luni de la data acordării creditului;</w:t>
      </w:r>
    </w:p>
    <w:p w14:paraId="584CA209" w14:textId="77777777" w:rsidR="001514C4" w:rsidRPr="00E138A6" w:rsidRDefault="001514C4" w:rsidP="00E138A6">
      <w:pPr>
        <w:numPr>
          <w:ilvl w:val="0"/>
          <w:numId w:val="35"/>
        </w:numPr>
        <w:rPr>
          <w:color w:val="313131"/>
          <w:szCs w:val="18"/>
        </w:rPr>
      </w:pPr>
      <w:r w:rsidRPr="00E138A6">
        <w:rPr>
          <w:color w:val="313131"/>
          <w:szCs w:val="18"/>
        </w:rPr>
        <w:t>o componentă nerambursabilă de maximum 10% din valoarea finanțării garantată.</w:t>
      </w:r>
    </w:p>
    <w:p w14:paraId="0EF10C83"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Granturile și componenta nerambursabilă se acordă în limita a maxim:</w:t>
      </w:r>
    </w:p>
    <w:p w14:paraId="5079BDE1" w14:textId="77777777" w:rsidR="001514C4" w:rsidRPr="00E138A6" w:rsidRDefault="001514C4" w:rsidP="00E138A6">
      <w:pPr>
        <w:numPr>
          <w:ilvl w:val="0"/>
          <w:numId w:val="36"/>
        </w:numPr>
        <w:rPr>
          <w:color w:val="313131"/>
          <w:szCs w:val="18"/>
        </w:rPr>
      </w:pPr>
      <w:r w:rsidRPr="00E138A6">
        <w:rPr>
          <w:color w:val="313131"/>
          <w:szCs w:val="18"/>
        </w:rPr>
        <w:t>2.300.000 euro per întreprindere în cazul în care întreprinderea nu își desfășoară activitatea în sectorul agriculturii, pescuitului și acvaculturii,</w:t>
      </w:r>
    </w:p>
    <w:p w14:paraId="697634BB" w14:textId="77777777" w:rsidR="001514C4" w:rsidRPr="00E138A6" w:rsidRDefault="001514C4" w:rsidP="00E138A6">
      <w:pPr>
        <w:numPr>
          <w:ilvl w:val="0"/>
          <w:numId w:val="36"/>
        </w:numPr>
        <w:rPr>
          <w:color w:val="313131"/>
          <w:szCs w:val="18"/>
        </w:rPr>
      </w:pPr>
      <w:r w:rsidRPr="00E138A6">
        <w:rPr>
          <w:color w:val="313131"/>
          <w:szCs w:val="18"/>
        </w:rPr>
        <w:t>345.000 euro pentru fiecare întreprindere care își desfășoară activitatea în sectorul pescuitului și acvaculturii sau</w:t>
      </w:r>
    </w:p>
    <w:p w14:paraId="76D1DB86" w14:textId="77777777" w:rsidR="001514C4" w:rsidRPr="00E138A6" w:rsidRDefault="001514C4" w:rsidP="00E138A6">
      <w:pPr>
        <w:numPr>
          <w:ilvl w:val="0"/>
          <w:numId w:val="36"/>
        </w:numPr>
        <w:rPr>
          <w:color w:val="313131"/>
          <w:szCs w:val="18"/>
        </w:rPr>
      </w:pPr>
      <w:r w:rsidRPr="00E138A6">
        <w:rPr>
          <w:color w:val="313131"/>
          <w:szCs w:val="18"/>
        </w:rPr>
        <w:t>290.000 euro pentru fiecare întreprindere care își desfășoară activitatea în domeniul producției agricole primare.</w:t>
      </w:r>
    </w:p>
    <w:p w14:paraId="6BDF8B9A"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lastRenderedPageBreak/>
        <w:t>În cadrul Programului RURAL INVEST sunt eligibile următoarele destinații ale finanțărilor aferente creditelor de investiții și capital de lucru:</w:t>
      </w:r>
    </w:p>
    <w:p w14:paraId="79FB90BF"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a) achiziția de terenuri agricole și achiziția de părți sociale ale întreprinderilor din domeniul agriculturii, pescuitului, acvaculturii și industriei alimentare;</w:t>
      </w:r>
    </w:p>
    <w:p w14:paraId="42ECEEB1"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b) dotare/retehnologizare și automatizare;</w:t>
      </w:r>
    </w:p>
    <w:p w14:paraId="168DC728"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c) alinierea la obiectivele de mediu care să genereze eficiență și independentă energetică;</w:t>
      </w:r>
    </w:p>
    <w:p w14:paraId="581E0E9D"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d) refinanțare credite de investiții și/sau credite pentru capital de lucru;</w:t>
      </w:r>
    </w:p>
    <w:p w14:paraId="14238903"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e) adeverințe de depozitare pentru producătorii de cereale;</w:t>
      </w:r>
    </w:p>
    <w:p w14:paraId="324BE1C0"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f) agricultură, industrie alimentară, piscicultură și acvacultură.</w:t>
      </w:r>
    </w:p>
    <w:p w14:paraId="24205C4B"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Garanția FGCR acoperă 90% din valoarea finanțării, exclusiv dobânzile, comisioanele și spezele bancare aferente creditului garantat. Pentru creditele de investiții, valoarea maximă cumulată a finanțărilor este de 10.000.000 lei, iar pentru creditele/liniile de credit pentru finanțarea capitalului de lucru valoarea maximă cumulată a finanțărilor este de 5.000.000 lei. Valoarea maximă cumulată a finanțărilor garantate de către stat prin FGCR care pot fi acordate unui beneficiar este de 15.000.000 lei și se acordă în limita uneia dintre următoarele condiții, care reprezintă valoarea cea mai mare dintre:</w:t>
      </w:r>
    </w:p>
    <w:p w14:paraId="08815F0C" w14:textId="77777777" w:rsidR="001514C4" w:rsidRPr="00E138A6" w:rsidRDefault="001514C4" w:rsidP="00E138A6">
      <w:pPr>
        <w:numPr>
          <w:ilvl w:val="0"/>
          <w:numId w:val="37"/>
        </w:numPr>
        <w:rPr>
          <w:color w:val="313131"/>
          <w:szCs w:val="18"/>
        </w:rPr>
      </w:pPr>
      <w:r w:rsidRPr="00E138A6">
        <w:rPr>
          <w:color w:val="313131"/>
          <w:szCs w:val="18"/>
        </w:rPr>
        <w:t>dublul sumei reprezentând cheltuielile salariale, inclusiv contribuţiile sociale obligatorii datorate de angajator aferente veniturilor din salarii şi asimilate salariilor, înregistrate la nivelul anului 2019;</w:t>
      </w:r>
    </w:p>
    <w:p w14:paraId="662812DE"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sau</w:t>
      </w:r>
    </w:p>
    <w:p w14:paraId="2A68C1BD" w14:textId="77777777" w:rsidR="001514C4" w:rsidRPr="00E138A6" w:rsidRDefault="001514C4" w:rsidP="00E138A6">
      <w:pPr>
        <w:numPr>
          <w:ilvl w:val="0"/>
          <w:numId w:val="38"/>
        </w:numPr>
        <w:rPr>
          <w:color w:val="313131"/>
          <w:szCs w:val="18"/>
        </w:rPr>
      </w:pPr>
      <w:r w:rsidRPr="00E138A6">
        <w:rPr>
          <w:color w:val="313131"/>
          <w:szCs w:val="18"/>
        </w:rPr>
        <w:t>25% din cifra de afaceri netă a beneficiarului pe 2019;</w:t>
      </w:r>
    </w:p>
    <w:p w14:paraId="0FDD4981"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sau</w:t>
      </w:r>
    </w:p>
    <w:p w14:paraId="3759852C" w14:textId="77777777" w:rsidR="001514C4" w:rsidRPr="00E138A6" w:rsidRDefault="001514C4" w:rsidP="00E138A6">
      <w:pPr>
        <w:numPr>
          <w:ilvl w:val="0"/>
          <w:numId w:val="39"/>
        </w:numPr>
        <w:rPr>
          <w:color w:val="313131"/>
          <w:szCs w:val="18"/>
        </w:rPr>
      </w:pPr>
      <w:r w:rsidRPr="00E138A6">
        <w:rPr>
          <w:color w:val="313131"/>
          <w:szCs w:val="18"/>
        </w:rPr>
        <w:t>o valoare care să rezulte din nevoile sale de lichidităţi; acestea pot include atât costuri cu capital de lucru, cât şi costurile cu investiţii, cu condiţia prezentării unor documente justificative de către beneficiar, situaţie în care cuantumul împrumutului nu poate depăşi nevoile de lichidităţi de la momentul acordării pentru următoarele 18 luni în cazul IMM-urilor sau pentru următoarele 12 luni în cazul întreprinderilor mari.</w:t>
      </w:r>
    </w:p>
    <w:p w14:paraId="0056C261"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Durata maximă a finanţării în cazul creditelor de investiţii aferente creditelor pentru investiții este de 72 de luni (inclusiv perioada de graţie) fără posibilitate de prelungire, iar în cazul creditelor/liniilor de credit pentru capital de lucru este de 36 de luni, fără posibilitatea de prelungire.</w:t>
      </w:r>
    </w:p>
    <w:p w14:paraId="1B6BAB1A"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Data limită pentru aprobarea de către FGCR a solicitărilor de garantare este 30.06.2022.</w:t>
      </w:r>
    </w:p>
    <w:p w14:paraId="0C8FD034"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Beneficiarii schemei de ajutor de stat sunt: operatori economici, fermieri, asociații agricole persoane fizice autorizate, întreprinderi individuale și familiale, precum și asociații de fermieri, constituite potrivit prevederilor legale în vigoare, precum și întreprinderile care își desfășoară activitatea în alte domenii decât cele care vizează agricultura, pescuitul, acvacultura sau industria alimentară, care au realizat investiții în baza proiectelor de finanțare din fonduri europene alocate prin Programul National de Dezvoltare Rurală.</w:t>
      </w:r>
    </w:p>
    <w:p w14:paraId="04330EE5"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Prin implementarea acestei scheme se estimează acordarea de ajutor de stat unui număr de peste 4.200 de beneficiari.</w:t>
      </w:r>
    </w:p>
    <w:p w14:paraId="35CF1CEA" w14:textId="77777777" w:rsidR="001514C4" w:rsidRPr="00E138A6" w:rsidRDefault="001514C4" w:rsidP="00E138A6">
      <w:pPr>
        <w:pStyle w:val="Stilsursa"/>
      </w:pPr>
      <w:r w:rsidRPr="00E138A6">
        <w:t>Sursa: MADR </w:t>
      </w:r>
    </w:p>
    <w:p w14:paraId="00DEACCF" w14:textId="65951FE9" w:rsidR="001514C4" w:rsidRPr="00E138A6" w:rsidRDefault="001514C4" w:rsidP="00E138A6">
      <w:pPr>
        <w:pStyle w:val="separatorarticole"/>
      </w:pPr>
      <w:r w:rsidRPr="00E138A6">
        <w:t>*</w:t>
      </w:r>
    </w:p>
    <w:p w14:paraId="3873BAF5" w14:textId="77777777" w:rsidR="001514C4" w:rsidRPr="00E138A6" w:rsidRDefault="001514C4" w:rsidP="00E138A6">
      <w:pPr>
        <w:pStyle w:val="TitluArticolinINFOUE"/>
        <w:rPr>
          <w:lang w:eastAsia="ro-RO"/>
        </w:rPr>
      </w:pPr>
      <w:bookmarkStart w:id="161" w:name="_Toc106112261"/>
      <w:r w:rsidRPr="00E138A6">
        <w:t>Comisia Europeană a aprobat o schemă românească în valoare de 605 milioane euro pentru sprijinirea IMM-urilor care își desfășoară activitatea în sectorul construcțiilor</w:t>
      </w:r>
      <w:bookmarkEnd w:id="161"/>
    </w:p>
    <w:p w14:paraId="60CBE97E"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 xml:space="preserve">Comisia Europeană a aprobat o schemă românească în valoare de 605 milioane EUR (aproape 3 miliarde RON), menită să sprijine întreprinderile mici și mijlocii care își desfășoară activitatea în sectorul construcțiilor și care sunt afectate de pandemia de coronavirus, potrivit unui comunicat oficial publicat ieri, 8 iunie 2022. Schema va sprijini, de asemenea, proiectele de construcții la scară mică ale unităților </w:t>
      </w:r>
      <w:r w:rsidRPr="00E138A6">
        <w:rPr>
          <w:rFonts w:ascii="Verdana" w:hAnsi="Verdana"/>
          <w:color w:val="313131"/>
          <w:sz w:val="18"/>
          <w:szCs w:val="18"/>
        </w:rPr>
        <w:lastRenderedPageBreak/>
        <w:t>administrative teritoriale. Schema a fost aprobată în temeiul Cadrului temporar pentru măsuri de ajutor de stat.</w:t>
      </w:r>
    </w:p>
    <w:p w14:paraId="09C971ED"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Măsura vizează (i) abordarea nevoilor de finanțare ale proiectelor cu scopul îmbunătățiri eficienței energetice; (ii) stimularea investițiilor în energia verde; și (iii) urmărirea obiectivelor de mediu. În cadrul schemei, sprijinul public va lua forma (i) unei garanții pentru investiții sau a unor împrumuturi pentru nevoile de capital circulant, care să acopere până la 90 % din împrumuturile acordate de instituțiile de creditare; și (ii) subvenții directe.</w:t>
      </w:r>
    </w:p>
    <w:p w14:paraId="10243AD6"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Valoarea nominală totală a garanțiilor va fi de aproximativ 505 milioane EUR, iar bugetul total alocat granturilor directe va fi de aproximativ 100 milioane EUR. Granturile directe vor acoperi, printre altele, anumite taxe legate de garanția de stat și o parte din dobânda împrumuturilor. Comisia a constatat că schema românească respectă condițiile prevăzute în cadrul temporar. În special, cu privire la ajutoarele sub formă de garanții pentru împrumuturi, (i) garanția se referă atât la împrumuturi pentru investiții, cât și la împrumuturi pentru capital circulant; (ii) durata maximă a garanției este de 6 ani; și (iii) primele de garanție respectă nivelurile minime stabilite în cadrul temporar.</w:t>
      </w:r>
    </w:p>
    <w:p w14:paraId="58F1DDE3"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În ceea ce privește ajutoarele limitate sub formă de granturi directe, acestea nu vor depăși 2,3 milioane EUR per beneficiar. În cadrul ambelor măsuri, ajutorul va fi acordat cel târziu la 30 iunie 2022. 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măsura în temeiul normelor UE privind ajutoarele de stat. Mai multe informații cu privire la cadrul temporar și la alte acțiuni întreprinse de Comisie pentru a aborda impactul economic al pandemiei de coronavirus pot fi găsite aici.</w:t>
      </w:r>
    </w:p>
    <w:p w14:paraId="51DA2581" w14:textId="77777777" w:rsidR="001514C4" w:rsidRPr="00E138A6" w:rsidRDefault="001514C4" w:rsidP="00E138A6">
      <w:pPr>
        <w:pStyle w:val="NormalWeb"/>
        <w:spacing w:before="120" w:beforeAutospacing="0" w:after="0" w:afterAutospacing="0"/>
        <w:rPr>
          <w:rFonts w:ascii="Verdana" w:hAnsi="Verdana"/>
          <w:color w:val="313131"/>
          <w:sz w:val="18"/>
          <w:szCs w:val="18"/>
        </w:rPr>
      </w:pPr>
      <w:r w:rsidRPr="00E138A6">
        <w:rPr>
          <w:rFonts w:ascii="Verdana" w:hAnsi="Verdana"/>
          <w:color w:val="313131"/>
          <w:sz w:val="18"/>
          <w:szCs w:val="18"/>
        </w:rPr>
        <w:t>Versiunea neconfidențială a deciziei va fi disponibilă cu numărul de caz SA.102830 în Registrul ajutoarelor de stat, pe site-ul web al Comisiei privind concurența, de îndată ce vor fi fost soluționate eventualele probleme legate de confidențialitate.</w:t>
      </w:r>
    </w:p>
    <w:p w14:paraId="38DDB01D" w14:textId="77777777" w:rsidR="001514C4" w:rsidRPr="00E138A6" w:rsidRDefault="001514C4" w:rsidP="00E138A6">
      <w:pPr>
        <w:pStyle w:val="Stilsursa"/>
      </w:pPr>
      <w:r w:rsidRPr="00E138A6">
        <w:t>Sursa: Reprezentanța Comisiei Europene în România </w:t>
      </w:r>
    </w:p>
    <w:p w14:paraId="477B0479" w14:textId="2BBA11BE" w:rsidR="001514C4" w:rsidRPr="00E138A6" w:rsidRDefault="001514C4" w:rsidP="00E138A6">
      <w:pPr>
        <w:pStyle w:val="separatorarticole"/>
      </w:pPr>
      <w:r w:rsidRPr="00E138A6">
        <w:t>*</w:t>
      </w:r>
    </w:p>
    <w:p w14:paraId="50370912" w14:textId="77777777" w:rsidR="00C91B48" w:rsidRPr="009840C9" w:rsidRDefault="00C91B48" w:rsidP="00516DE2">
      <w:pPr>
        <w:pStyle w:val="TitluArticolinINFOUE"/>
        <w:rPr>
          <w:lang w:eastAsia="ro-RO"/>
        </w:rPr>
      </w:pPr>
      <w:bookmarkStart w:id="162" w:name="_Toc106112262"/>
      <w:r w:rsidRPr="009840C9">
        <w:t>În prezent, Fondul pentru modernizare a pus 2,4 miliarde euro la dispoziția României și altor șase țări beneficiare</w:t>
      </w:r>
      <w:bookmarkEnd w:id="162"/>
    </w:p>
    <w:p w14:paraId="14E82AF2"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prezent, Fondul pentru modernizare a pus 2,4 miliarde EUR la dispoziția a șapte țări beneficiare pentru a contribui la modernizarea sistemelor lor energetice, pentru a reduce emisiile de gaze cu efect de seră în sectorul energetic, industrial și al transporturilor și pentru a le sprijini să își îndeplinească obiectivele în materie de climă și energie pentru 2030. Investițiile au fost confirmate în România (1 391,6 milioane EUR), Cehia (520 milioane EUR), Polonia (244,2 milioane EUR), Lituania (85 milioane EUR), Ungaria (74,3 milioane EUR), Slovacia (49,5 milioane EUR) și Croația (40 milioane EUR). Aceasta încheie cel de al treilea ciclu de investiții al Fondului pentru modernizare și reprezintă o creștere bruscă a cheltuielilor în comparație cu ciclurile de investiții anterioare.</w:t>
      </w:r>
    </w:p>
    <w:p w14:paraId="29C4368B"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Fondul pentru modernizare sprijină 45 de propuneri de investiții în următoarele domenii: producția de energie electrică din surse regenerabile, modernizarea rețelelor energetice și eficiența energetică în sectorul energetic, în industrie, în clădiri și în transporturi, și înlocuirea producției de cărbune cu combustibili cu intensitate scăzută a emisiilor de carbon. Exemple de investiții sprijinite de fond sunt:</w:t>
      </w:r>
    </w:p>
    <w:p w14:paraId="676D47EA" w14:textId="77777777" w:rsidR="00C91B48" w:rsidRPr="009840C9" w:rsidRDefault="00C91B48" w:rsidP="00CF784D">
      <w:pPr>
        <w:numPr>
          <w:ilvl w:val="0"/>
          <w:numId w:val="34"/>
        </w:numPr>
        <w:rPr>
          <w:color w:val="313131"/>
          <w:szCs w:val="18"/>
        </w:rPr>
      </w:pPr>
      <w:r w:rsidRPr="009840C9">
        <w:rPr>
          <w:color w:val="313131"/>
          <w:szCs w:val="18"/>
        </w:rPr>
        <w:t>modernizarea sistemelor de iluminat public din cadrul municipalităților, conversia cărbunelui în biomasă și gaz în instalațiile de termoficare și în instalațiile ETS, precum și creșterea eficienței energetice în Cehia;</w:t>
      </w:r>
    </w:p>
    <w:p w14:paraId="666CB88B" w14:textId="77777777" w:rsidR="00C91B48" w:rsidRPr="009840C9" w:rsidRDefault="00C91B48" w:rsidP="00CF784D">
      <w:pPr>
        <w:numPr>
          <w:ilvl w:val="0"/>
          <w:numId w:val="34"/>
        </w:numPr>
        <w:rPr>
          <w:color w:val="313131"/>
          <w:szCs w:val="18"/>
        </w:rPr>
      </w:pPr>
      <w:r w:rsidRPr="009840C9">
        <w:rPr>
          <w:color w:val="313131"/>
          <w:szCs w:val="18"/>
        </w:rPr>
        <w:t>producția de electricitate din surse regenerabile de energie în Croația;</w:t>
      </w:r>
    </w:p>
    <w:p w14:paraId="73F092D8" w14:textId="77777777" w:rsidR="00C91B48" w:rsidRPr="009840C9" w:rsidRDefault="00C91B48" w:rsidP="00CF784D">
      <w:pPr>
        <w:numPr>
          <w:ilvl w:val="0"/>
          <w:numId w:val="34"/>
        </w:numPr>
        <w:rPr>
          <w:color w:val="313131"/>
          <w:szCs w:val="18"/>
        </w:rPr>
      </w:pPr>
      <w:r w:rsidRPr="009840C9">
        <w:rPr>
          <w:color w:val="313131"/>
          <w:szCs w:val="18"/>
        </w:rPr>
        <w:t>renovarea clădirilor publice și creșterea eficienței energetice în Lituania;</w:t>
      </w:r>
    </w:p>
    <w:p w14:paraId="6F3E6D50" w14:textId="77777777" w:rsidR="00C91B48" w:rsidRPr="009840C9" w:rsidRDefault="00C91B48" w:rsidP="00CF784D">
      <w:pPr>
        <w:numPr>
          <w:ilvl w:val="0"/>
          <w:numId w:val="34"/>
        </w:numPr>
        <w:rPr>
          <w:color w:val="313131"/>
          <w:szCs w:val="18"/>
        </w:rPr>
      </w:pPr>
      <w:r w:rsidRPr="009840C9">
        <w:rPr>
          <w:color w:val="313131"/>
          <w:szCs w:val="18"/>
        </w:rPr>
        <w:t>construirea a opt parcuri fotovoltaice și a două turbine cu gaz cu ciclu combinat, care vor înlocui lignitul cu surse regenerabile de energie și gaz pentru generarea de energie electrică și modernizarea rețelelor de energie electrică în România;</w:t>
      </w:r>
    </w:p>
    <w:p w14:paraId="48F49836" w14:textId="77777777" w:rsidR="00C91B48" w:rsidRPr="009840C9" w:rsidRDefault="00C91B48" w:rsidP="00CF784D">
      <w:pPr>
        <w:numPr>
          <w:ilvl w:val="0"/>
          <w:numId w:val="34"/>
        </w:numPr>
        <w:rPr>
          <w:color w:val="313131"/>
          <w:szCs w:val="18"/>
        </w:rPr>
      </w:pPr>
      <w:r w:rsidRPr="009840C9">
        <w:rPr>
          <w:color w:val="313131"/>
          <w:szCs w:val="18"/>
        </w:rPr>
        <w:t>îmbunătățirea eficienței energetice în industrie în Polonia;</w:t>
      </w:r>
    </w:p>
    <w:p w14:paraId="6A803D16" w14:textId="77777777" w:rsidR="00C91B48" w:rsidRPr="009840C9" w:rsidRDefault="00C91B48" w:rsidP="00CF784D">
      <w:pPr>
        <w:numPr>
          <w:ilvl w:val="0"/>
          <w:numId w:val="34"/>
        </w:numPr>
        <w:rPr>
          <w:color w:val="313131"/>
          <w:szCs w:val="18"/>
        </w:rPr>
      </w:pPr>
      <w:r w:rsidRPr="009840C9">
        <w:rPr>
          <w:color w:val="313131"/>
          <w:szCs w:val="18"/>
        </w:rPr>
        <w:lastRenderedPageBreak/>
        <w:t>tranșele de stocare a energiei pentru securitatea rețelei în Ungaria;</w:t>
      </w:r>
    </w:p>
    <w:p w14:paraId="54B45D4B" w14:textId="77777777" w:rsidR="00C91B48" w:rsidRPr="009840C9" w:rsidRDefault="00C91B48" w:rsidP="00CF784D">
      <w:pPr>
        <w:numPr>
          <w:ilvl w:val="0"/>
          <w:numId w:val="34"/>
        </w:numPr>
        <w:rPr>
          <w:color w:val="313131"/>
          <w:szCs w:val="18"/>
        </w:rPr>
      </w:pPr>
      <w:r w:rsidRPr="009840C9">
        <w:rPr>
          <w:color w:val="313131"/>
          <w:szCs w:val="18"/>
        </w:rPr>
        <w:t>reabilitarea și extinderea rețelelor de termoficare și răcire centralizată în Slovacia.</w:t>
      </w:r>
    </w:p>
    <w:p w14:paraId="266BDA18"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Termenul-limită până la care statele membre beneficiare trebuie să depună propuneri de investiții pentru a obține sprijin din partea Fondului pentru modernizare în cadrul următorului ciclu de plăți este 16 august 2022 pentru propuneri neprioritare (investiții care nu intră în domeniile de prioritate ale fondului) și 13 septembrie 2022 pentru propuneri prioritare (investiții care intră în domeniile prioritare).</w:t>
      </w:r>
    </w:p>
    <w:p w14:paraId="129A8803" w14:textId="77777777" w:rsidR="00C91B48" w:rsidRPr="009840C9" w:rsidRDefault="00C91B48" w:rsidP="00516DE2">
      <w:pPr>
        <w:pStyle w:val="Stilsursa"/>
      </w:pPr>
      <w:r w:rsidRPr="009840C9">
        <w:t>Sursa: Reprezentanța Comisiei Europene în România</w:t>
      </w:r>
    </w:p>
    <w:p w14:paraId="566ED84B" w14:textId="4D60A4E5" w:rsidR="00C91B48" w:rsidRPr="009840C9" w:rsidRDefault="00C91B48" w:rsidP="00516DE2">
      <w:pPr>
        <w:pStyle w:val="separatorarticole"/>
      </w:pPr>
      <w:r w:rsidRPr="009840C9">
        <w:t>*</w:t>
      </w:r>
    </w:p>
    <w:p w14:paraId="6058CA63" w14:textId="77777777" w:rsidR="00C91B48" w:rsidRPr="009840C9" w:rsidRDefault="00C91B48" w:rsidP="00516DE2">
      <w:pPr>
        <w:pStyle w:val="TitluArticolinINFOUE"/>
        <w:rPr>
          <w:lang w:eastAsia="ro-RO"/>
        </w:rPr>
      </w:pPr>
      <w:bookmarkStart w:id="163" w:name="_Toc106112263"/>
      <w:r w:rsidRPr="009840C9">
        <w:t>Comisia Europeană a aprobat schema de ajutor de stat instituită prin Programul RURAL INVEST</w:t>
      </w:r>
      <w:bookmarkEnd w:id="163"/>
    </w:p>
    <w:p w14:paraId="7BAD7F3E"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Comisia Europeană a aprobat schema de ajutor de stat instituită prin Programul RURAL INVEST, care se derulează prin Fondul de Garantare a Creditului Rural – FGCR, finanțată din bugetul Ministerului Finanțelor, pentru întreprinderile din domeniul agriculturii, pescuitului, acvaculturii și industriei alimentare, precum și pentru întreprinderile din alte domenii decât cele menționate, care își localizează producția în mediul rural și urban mic.</w:t>
      </w:r>
    </w:p>
    <w:p w14:paraId="49F76808"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Schema de ajutor de stat are o valoare totală de 606 milioane de euro și se adresează întreprinderilor a căror activitate comercială a fost afectată în perioada stării de urgență și a stării de alertă, în contextul crizei COVID-19, coroborat cu efectele războiului din Ucraina.</w:t>
      </w:r>
    </w:p>
    <w:p w14:paraId="335ED426"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Ajutorul de stat se acordă sub formă de:</w:t>
      </w:r>
    </w:p>
    <w:p w14:paraId="57FD7618" w14:textId="77777777" w:rsidR="00C91B48" w:rsidRPr="009840C9" w:rsidRDefault="00C91B48" w:rsidP="00CF784D">
      <w:pPr>
        <w:numPr>
          <w:ilvl w:val="0"/>
          <w:numId w:val="29"/>
        </w:numPr>
        <w:rPr>
          <w:color w:val="313131"/>
          <w:szCs w:val="18"/>
        </w:rPr>
      </w:pPr>
      <w:r w:rsidRPr="009840C9">
        <w:rPr>
          <w:color w:val="313131"/>
          <w:szCs w:val="18"/>
        </w:rPr>
        <w:t>garanții, care acoperă în proporție de maximum 90% creditele acordate de către instituții de credit;</w:t>
      </w:r>
    </w:p>
    <w:p w14:paraId="31A84AB7" w14:textId="77777777" w:rsidR="00C91B48" w:rsidRPr="009840C9" w:rsidRDefault="00C91B48" w:rsidP="00CF784D">
      <w:pPr>
        <w:numPr>
          <w:ilvl w:val="0"/>
          <w:numId w:val="29"/>
        </w:numPr>
        <w:rPr>
          <w:color w:val="313131"/>
          <w:szCs w:val="18"/>
        </w:rPr>
      </w:pPr>
      <w:r w:rsidRPr="009840C9">
        <w:rPr>
          <w:color w:val="313131"/>
          <w:szCs w:val="18"/>
        </w:rPr>
        <w:t>granturi în limita comisionului de administrare și plata dobânzii datorate de beneficiari o perioadă de maximum 24 luni de la data acordării creditului;</w:t>
      </w:r>
    </w:p>
    <w:p w14:paraId="204719B6" w14:textId="77777777" w:rsidR="00C91B48" w:rsidRPr="009840C9" w:rsidRDefault="00C91B48" w:rsidP="00CF784D">
      <w:pPr>
        <w:numPr>
          <w:ilvl w:val="0"/>
          <w:numId w:val="29"/>
        </w:numPr>
        <w:rPr>
          <w:color w:val="313131"/>
          <w:szCs w:val="18"/>
        </w:rPr>
      </w:pPr>
      <w:r w:rsidRPr="009840C9">
        <w:rPr>
          <w:color w:val="313131"/>
          <w:szCs w:val="18"/>
        </w:rPr>
        <w:t>o componentă nerambursabilă de maximum 10% din valoarea finanțării garantată.</w:t>
      </w:r>
    </w:p>
    <w:p w14:paraId="62B21CAD"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Granturile și componenta nerambursabilă se acordă în limita a maxim:</w:t>
      </w:r>
    </w:p>
    <w:p w14:paraId="66031693" w14:textId="77777777" w:rsidR="00C91B48" w:rsidRPr="009840C9" w:rsidRDefault="00C91B48" w:rsidP="00CF784D">
      <w:pPr>
        <w:numPr>
          <w:ilvl w:val="0"/>
          <w:numId w:val="30"/>
        </w:numPr>
        <w:rPr>
          <w:color w:val="313131"/>
          <w:szCs w:val="18"/>
        </w:rPr>
      </w:pPr>
      <w:r w:rsidRPr="009840C9">
        <w:rPr>
          <w:color w:val="313131"/>
          <w:szCs w:val="18"/>
        </w:rPr>
        <w:t>2.300.000 euro per întreprindere în cazul în care întreprinderea nu își desfășoară activitatea în sectorul agriculturii, pescuitului și acvaculturii,</w:t>
      </w:r>
    </w:p>
    <w:p w14:paraId="1F85FDAA" w14:textId="77777777" w:rsidR="00C91B48" w:rsidRPr="009840C9" w:rsidRDefault="00C91B48" w:rsidP="00CF784D">
      <w:pPr>
        <w:numPr>
          <w:ilvl w:val="0"/>
          <w:numId w:val="30"/>
        </w:numPr>
        <w:rPr>
          <w:color w:val="313131"/>
          <w:szCs w:val="18"/>
        </w:rPr>
      </w:pPr>
      <w:r w:rsidRPr="009840C9">
        <w:rPr>
          <w:color w:val="313131"/>
          <w:szCs w:val="18"/>
        </w:rPr>
        <w:t>345.000 euro pentru fiecare întreprindere care își desfășoară activitatea în sectorul pescuitului și acvaculturii sau</w:t>
      </w:r>
    </w:p>
    <w:p w14:paraId="72612AB0" w14:textId="77777777" w:rsidR="00C91B48" w:rsidRPr="009840C9" w:rsidRDefault="00C91B48" w:rsidP="00CF784D">
      <w:pPr>
        <w:numPr>
          <w:ilvl w:val="0"/>
          <w:numId w:val="30"/>
        </w:numPr>
        <w:rPr>
          <w:color w:val="313131"/>
          <w:szCs w:val="18"/>
        </w:rPr>
      </w:pPr>
      <w:r w:rsidRPr="009840C9">
        <w:rPr>
          <w:color w:val="313131"/>
          <w:szCs w:val="18"/>
        </w:rPr>
        <w:t>290.000 euro pentru fiecare întreprindere care își desfășoară activitatea în domeniul producției agricole primare.</w:t>
      </w:r>
    </w:p>
    <w:p w14:paraId="14AF8A2A"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În cadrul Programului RURAL INVEST sunt eligibile următoarele destinații ale finanțărilor aferente creditelor de investiții și capital de lucru:</w:t>
      </w:r>
    </w:p>
    <w:p w14:paraId="2D543A36"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a) achiziția de terenuri agricole și achiziția de părți sociale ale întreprinderilor din domeniul agriculturii, pescuitului, acvaculturii și industriei alimentare;</w:t>
      </w:r>
    </w:p>
    <w:p w14:paraId="1349F200"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b) dotare/retehnologizare și automatizare;</w:t>
      </w:r>
    </w:p>
    <w:p w14:paraId="16D5AF50"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c) alinierea la obiectivele de mediu care să genereze eficiență și independentă energetică;</w:t>
      </w:r>
    </w:p>
    <w:p w14:paraId="1EB34437"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d) refinanțare credite de investiții și/sau credite pentru capital de lucru;</w:t>
      </w:r>
    </w:p>
    <w:p w14:paraId="5E4CB5A4"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e) adeverințe de depozitare pentru producătorii de cereale;</w:t>
      </w:r>
    </w:p>
    <w:p w14:paraId="3FE12F3E"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f) agricultură, industrie alimentară, piscicultură și acvacultură.</w:t>
      </w:r>
    </w:p>
    <w:p w14:paraId="3CDE2F1F"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xml:space="preserve">Garanția FGCR acoperă 90% din valoarea finanțării, exclusiv dobânzile, comisioanele și spezele bancare aferente creditului garantat. Pentru creditele de investiții, valoarea maximă cumulată a finanțărilor este de 10.000.000 lei, iar pentru creditele/liniile de credit pentru finanțarea capitalului de lucru valoarea maximă cumulată a finanțărilor este de 5.000.000 lei. Valoarea maximă cumulată a finanțărilor </w:t>
      </w:r>
      <w:r w:rsidRPr="009840C9">
        <w:rPr>
          <w:rFonts w:ascii="Verdana" w:hAnsi="Verdana"/>
          <w:color w:val="313131"/>
          <w:sz w:val="18"/>
          <w:szCs w:val="18"/>
        </w:rPr>
        <w:lastRenderedPageBreak/>
        <w:t>garantate de către stat prin FGCR care pot fi acordate unui beneficiar este de 15.000.000 lei și se acordă în limita uneia dintre următoarele condiții, care reprezintă valoarea cea mai mare dintre:</w:t>
      </w:r>
    </w:p>
    <w:p w14:paraId="32C28AAF" w14:textId="77777777" w:rsidR="00C91B48" w:rsidRPr="009840C9" w:rsidRDefault="00C91B48" w:rsidP="00CF784D">
      <w:pPr>
        <w:numPr>
          <w:ilvl w:val="0"/>
          <w:numId w:val="31"/>
        </w:numPr>
        <w:rPr>
          <w:color w:val="313131"/>
          <w:szCs w:val="18"/>
        </w:rPr>
      </w:pPr>
      <w:r w:rsidRPr="009840C9">
        <w:rPr>
          <w:color w:val="313131"/>
          <w:szCs w:val="18"/>
        </w:rPr>
        <w:t>dublul sumei reprezentând cheltuielile salariale, inclusiv contribuţiile sociale obligatorii datorate de angajator aferente veniturilor din salarii şi asimilate salariilor, înregistrate la nivelul anului 2019;</w:t>
      </w:r>
    </w:p>
    <w:p w14:paraId="6C4F2DEB"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sau</w:t>
      </w:r>
    </w:p>
    <w:p w14:paraId="34A1821D" w14:textId="77777777" w:rsidR="00C91B48" w:rsidRPr="009840C9" w:rsidRDefault="00C91B48" w:rsidP="00CF784D">
      <w:pPr>
        <w:numPr>
          <w:ilvl w:val="0"/>
          <w:numId w:val="32"/>
        </w:numPr>
        <w:rPr>
          <w:color w:val="313131"/>
          <w:szCs w:val="18"/>
        </w:rPr>
      </w:pPr>
      <w:r w:rsidRPr="009840C9">
        <w:rPr>
          <w:color w:val="313131"/>
          <w:szCs w:val="18"/>
        </w:rPr>
        <w:t>25% din cifra de afaceri netă a beneficiarului pe 2019;</w:t>
      </w:r>
    </w:p>
    <w:p w14:paraId="3309622F"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sau</w:t>
      </w:r>
    </w:p>
    <w:p w14:paraId="0A088224" w14:textId="77777777" w:rsidR="00C91B48" w:rsidRPr="009840C9" w:rsidRDefault="00C91B48" w:rsidP="00CF784D">
      <w:pPr>
        <w:numPr>
          <w:ilvl w:val="0"/>
          <w:numId w:val="33"/>
        </w:numPr>
        <w:rPr>
          <w:color w:val="313131"/>
          <w:szCs w:val="18"/>
        </w:rPr>
      </w:pPr>
      <w:r w:rsidRPr="009840C9">
        <w:rPr>
          <w:color w:val="313131"/>
          <w:szCs w:val="18"/>
        </w:rPr>
        <w:t>o valoare care să rezulte din nevoile sale de lichidităţi; acestea pot include atât costuri cu capital de lucru, cât şi costurile cu investiţii, cu condiţia prezentării unor documente justificative de către beneficiar, situaţie în care cuantumul împrumutului nu poate depăşi nevoile de lichidităţi de la momentul acordării pentru următoarele 18 luni în cazul IMM-urilor sau pentru următoarele 12 luni în cazul întreprinderilor mari.</w:t>
      </w:r>
    </w:p>
    <w:p w14:paraId="0375431F"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Durata maximă a finanţării în cazul creditelor de investiţii aferente creditelor pentru investiții este de 72 de luni (inclusiv perioada de graţie) fără posibilitate de prelungire, iar în cazul creditelor/liniilor de credit pentru capital de lucru este de 36 de luni, fără posibilitatea de prelungire.</w:t>
      </w:r>
    </w:p>
    <w:p w14:paraId="449CBDE6"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Data limită pentru aprobarea de către FGCR a solicitărilor de garantare este 30.06.2022.</w:t>
      </w:r>
    </w:p>
    <w:p w14:paraId="4C2DFEE4"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Beneficiarii schemei de ajutor de stat sunt: operatori economici, fermieri, asociații agricole persoane fizice autorizate, întreprinderi individuale și familiale, precum și asociații de fermieri, constituite potrivit prevederilor legale în vigoare, precum și întreprinderile care își desfășoară activitatea în alte domenii decât cele care vizează agricultura, pescuitul, acvacultura sau industria alimentară, care au realizat investiții în baza proiectelor de finanțare din fonduri europene alocate prin Programul National de Dezvoltare Rurală.</w:t>
      </w:r>
    </w:p>
    <w:p w14:paraId="1B983E9B"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Prin implementarea acestei scheme se estimează acordarea de ajutor de stat unui număr de peste 4.200 de beneficiari.</w:t>
      </w:r>
    </w:p>
    <w:p w14:paraId="3AA6889D" w14:textId="77777777" w:rsidR="00C91B48" w:rsidRPr="009840C9" w:rsidRDefault="00C91B48" w:rsidP="00516DE2">
      <w:pPr>
        <w:pStyle w:val="Stilsursa"/>
      </w:pPr>
      <w:r w:rsidRPr="009840C9">
        <w:t>Sursa: MADR </w:t>
      </w:r>
    </w:p>
    <w:p w14:paraId="5C1CDEE0" w14:textId="21D3D3BE" w:rsidR="00C91B48" w:rsidRPr="009840C9" w:rsidRDefault="00C91B48" w:rsidP="00516DE2">
      <w:pPr>
        <w:pStyle w:val="separatorarticole"/>
      </w:pPr>
      <w:r w:rsidRPr="009840C9">
        <w:t>*</w:t>
      </w:r>
    </w:p>
    <w:p w14:paraId="2F42B737" w14:textId="77777777" w:rsidR="00C91B48" w:rsidRPr="009840C9" w:rsidRDefault="00C91B48" w:rsidP="00516DE2">
      <w:pPr>
        <w:pStyle w:val="TitluArticolinINFOUE"/>
        <w:rPr>
          <w:lang w:eastAsia="ro-RO"/>
        </w:rPr>
      </w:pPr>
      <w:bookmarkStart w:id="164" w:name="_Toc106112264"/>
      <w:r w:rsidRPr="009840C9">
        <w:t>Schema de ajutor de minimis pentru susținerea editării revistelor și publicațiilor culturale, aprobată de guvern</w:t>
      </w:r>
      <w:bookmarkEnd w:id="164"/>
    </w:p>
    <w:p w14:paraId="793DAE23"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La finalul ședinței de guvern de astăzi, 8 iunie 2022, purtătorul de cuvânt al Guvernului, Dan Cărbunaru, a prezentat actele normative aprobate de executiv. </w:t>
      </w:r>
    </w:p>
    <w:p w14:paraId="4E4E7AD6"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Potrivit acestuia, printre altele, a fost aprobat memorandumul privind aprobarea schemei de ajutor de minimis pentru susținerea editării revistelor și publicațiilor culturale, altele decât cele propuse de uniunile de creatori din România, membre ale Alianței Naționale a Uniunilor de Creatori, în conformitate cu Legea 136 din 2015 pentru finanțarea revistelor de cultură reprezentative din România. </w:t>
      </w:r>
    </w:p>
    <w:p w14:paraId="33CB42FA"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Bugetul total</w:t>
      </w:r>
      <w:r w:rsidRPr="009840C9">
        <w:rPr>
          <w:rFonts w:ascii="Verdana" w:hAnsi="Verdana"/>
          <w:color w:val="313131"/>
          <w:sz w:val="18"/>
          <w:szCs w:val="18"/>
        </w:rPr>
        <w:t> al schemei este de 2,25 milioane de lei, constând în credite de angajare și credite bugetare. </w:t>
      </w:r>
    </w:p>
    <w:p w14:paraId="17D5457E"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Beneficiarii schemei </w:t>
      </w:r>
      <w:r w:rsidRPr="009840C9">
        <w:rPr>
          <w:rFonts w:ascii="Verdana" w:hAnsi="Verdana"/>
          <w:color w:val="313131"/>
          <w:sz w:val="18"/>
          <w:szCs w:val="18"/>
        </w:rPr>
        <w:t>vor fi asociații, fundații, operatori culturali care au ca obiect de activitate editarea de reviste și publicații culturale, numărul de beneficiari fiind de 40 în fiecare an. </w:t>
      </w:r>
    </w:p>
    <w:p w14:paraId="6BD7AFFD"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După publicarea, prin ordin al ministrului culturii, în Monitorul Oficial, </w:t>
      </w:r>
      <w:r w:rsidRPr="009840C9">
        <w:rPr>
          <w:rStyle w:val="Strong"/>
          <w:color w:val="313131"/>
        </w:rPr>
        <w:t>schema de ajutor va fi disponibilă până la 31 decembrie 2023</w:t>
      </w:r>
      <w:r w:rsidRPr="009840C9">
        <w:rPr>
          <w:rFonts w:ascii="Verdana" w:hAnsi="Verdana"/>
          <w:color w:val="313131"/>
          <w:sz w:val="18"/>
          <w:szCs w:val="18"/>
        </w:rPr>
        <w:t>, a transmis purtătorul de cuvânt.</w:t>
      </w:r>
    </w:p>
    <w:p w14:paraId="4C87661C"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Totodată, din perspectiva fondurilor europene, acesta a transmis faptul că a fost aprobat un proiect de lege privind gestionarea și utilizarea fondurilor INTERREG și a contribuției publice naționale pentru obiectivul „Cooperare teritorială europeană în perioada 2021-2027": </w:t>
      </w:r>
    </w:p>
    <w:p w14:paraId="01651AEA"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w:t>
      </w:r>
      <w:r w:rsidRPr="009840C9">
        <w:rPr>
          <w:rStyle w:val="Emphasis"/>
          <w:color w:val="313131"/>
        </w:rPr>
        <w:t xml:space="preserve">Actul normativ stabilește cadrul financiar general privind alocarea fondurilor INTERREG și a contribuției publice naționale în bugetul instituțiilor implicate în gestionarea și utilizarea lor pentru obiectivul „Cooperare teritorială europeană". Se stabilesc și circuitele financiare aferente acestor programe, care </w:t>
      </w:r>
      <w:r w:rsidRPr="009840C9">
        <w:rPr>
          <w:rStyle w:val="Emphasis"/>
          <w:color w:val="313131"/>
        </w:rPr>
        <w:lastRenderedPageBreak/>
        <w:t>vor începe imediat după adoptarea lor pentru a valorifica, în acest fel, fondurile disponibile. Datele de la nivelul Guvernului arată că impactul financiar asupra bugetului de stat, pentru toate programele gestionate de Ministerul Dezvoltării Lucrărilor Publice și Administrației, pentru perioada 2021-2027, este estimat la 70,74 milioane de euro pentru întreaga perioadă de implementare, aceasta reprezentând contribuția publică pe care bugetul de stat o asigură partenerilor din România și beneficiilor de asistență tehnică după caz și contribuții naționale transferate</w:t>
      </w:r>
      <w:r w:rsidRPr="009840C9">
        <w:rPr>
          <w:rFonts w:ascii="Verdana" w:hAnsi="Verdana"/>
          <w:color w:val="313131"/>
          <w:sz w:val="18"/>
          <w:szCs w:val="18"/>
        </w:rPr>
        <w:t>”. </w:t>
      </w:r>
    </w:p>
    <w:p w14:paraId="1585E399" w14:textId="77777777" w:rsidR="00C91B48" w:rsidRPr="009840C9" w:rsidRDefault="00C91B48" w:rsidP="00516DE2">
      <w:pPr>
        <w:pStyle w:val="Stilsursa"/>
      </w:pPr>
      <w:r w:rsidRPr="009840C9">
        <w:t>Sursa: Guvernul României </w:t>
      </w:r>
    </w:p>
    <w:p w14:paraId="3A0AF2D5" w14:textId="4C7914B9" w:rsidR="00C91B48" w:rsidRPr="009840C9" w:rsidRDefault="00C91B48" w:rsidP="00516DE2">
      <w:pPr>
        <w:pStyle w:val="separatorarticole"/>
      </w:pPr>
      <w:r w:rsidRPr="009840C9">
        <w:t>*</w:t>
      </w:r>
    </w:p>
    <w:p w14:paraId="54F8E65C" w14:textId="77777777" w:rsidR="00C91B48" w:rsidRPr="009840C9" w:rsidRDefault="00C91B48" w:rsidP="00516DE2">
      <w:pPr>
        <w:pStyle w:val="TitluArticolinINFOUE"/>
        <w:rPr>
          <w:lang w:eastAsia="ro-RO"/>
        </w:rPr>
      </w:pPr>
      <w:bookmarkStart w:id="165" w:name="_Toc106112265"/>
      <w:r w:rsidRPr="009840C9">
        <w:t>Întreprinderile ce activează în domeniul cercetare-dezvoltare pot accesa finanțări de aproape 36 milioane de euro prin POC</w:t>
      </w:r>
      <w:bookmarkEnd w:id="165"/>
    </w:p>
    <w:p w14:paraId="7BE8A0BB"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Ministerul Investițiilor și Proiectelor Europene a publicat astăzi, 8 iunie 2022, Ordinul nr. 883/07.06.2021 pentru aprobarea Ghidului Solicitantului aferent Acțiunii 1.2.1 Stimularea cererii întreprinderilor pentru inovare prin proiecte de CDI derulate de întreprinderi individual sau în parteneriat cu institutele de CD și universități, în scopul inovării de procese și de produse în sectoarele economice care prezintă potențial de creștere Tip de proiect: Proiect Tehnologic Inovativ. </w:t>
      </w:r>
    </w:p>
    <w:p w14:paraId="266B2AA2"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Solicitanți eligibili</w:t>
      </w:r>
    </w:p>
    <w:p w14:paraId="784F56B3"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Pentru această acţiune pot solicita finanţare întreprinderile cu obiect de activitate cercetare-dezvoltare (cod CAEN 72.), dar pentru care activitatea de CD nu constituie obiectul principal de activitate.</w:t>
      </w:r>
    </w:p>
    <w:p w14:paraId="16BE06AB"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La momentul depunerii cererii de finanțare solicitantul trebuie să fie înregistrat în România sau într-un stat membru al UE.</w:t>
      </w:r>
    </w:p>
    <w:p w14:paraId="1312887E"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Valoarea totală </w:t>
      </w:r>
      <w:r w:rsidRPr="009840C9">
        <w:rPr>
          <w:rFonts w:ascii="Verdana" w:hAnsi="Verdana"/>
          <w:color w:val="313131"/>
          <w:sz w:val="18"/>
          <w:szCs w:val="18"/>
        </w:rPr>
        <w:t>a acestui apel este de 35.993.816 Euro (aproximativ 178.093.802 Lei ) din care:</w:t>
      </w:r>
    </w:p>
    <w:p w14:paraId="490B105B" w14:textId="77777777" w:rsidR="00C91B48" w:rsidRPr="009840C9" w:rsidRDefault="00C91B48" w:rsidP="00CF784D">
      <w:pPr>
        <w:numPr>
          <w:ilvl w:val="0"/>
          <w:numId w:val="26"/>
        </w:numPr>
        <w:rPr>
          <w:color w:val="313131"/>
          <w:szCs w:val="18"/>
        </w:rPr>
      </w:pPr>
      <w:r w:rsidRPr="009840C9">
        <w:rPr>
          <w:color w:val="313131"/>
          <w:szCs w:val="18"/>
        </w:rPr>
        <w:t>pentru localitățile din județul  Ilfov, prevăzute la pct.1.9: 8.893.168 Euro (aproximativ 44.002.506 lei)</w:t>
      </w:r>
    </w:p>
    <w:p w14:paraId="487F50F2" w14:textId="77777777" w:rsidR="00C91B48" w:rsidRPr="009840C9" w:rsidRDefault="00C91B48" w:rsidP="00CF784D">
      <w:pPr>
        <w:numPr>
          <w:ilvl w:val="0"/>
          <w:numId w:val="26"/>
        </w:numPr>
        <w:rPr>
          <w:color w:val="313131"/>
          <w:szCs w:val="18"/>
        </w:rPr>
      </w:pPr>
      <w:r w:rsidRPr="009840C9">
        <w:rPr>
          <w:color w:val="313131"/>
          <w:szCs w:val="18"/>
        </w:rPr>
        <w:t>pentru regiuni mai puțin dezvoltate (fără a considera zona ITI Delta Dunării): 24.099.739 Euro (aproximativ 119.243.099 lei)</w:t>
      </w:r>
    </w:p>
    <w:p w14:paraId="57511E3E" w14:textId="77777777" w:rsidR="00C91B48" w:rsidRPr="009840C9" w:rsidRDefault="00C91B48" w:rsidP="00CF784D">
      <w:pPr>
        <w:numPr>
          <w:ilvl w:val="0"/>
          <w:numId w:val="26"/>
        </w:numPr>
        <w:rPr>
          <w:color w:val="313131"/>
          <w:szCs w:val="18"/>
        </w:rPr>
      </w:pPr>
      <w:r w:rsidRPr="009840C9">
        <w:rPr>
          <w:color w:val="313131"/>
          <w:szCs w:val="18"/>
        </w:rPr>
        <w:t>pentru proiectele derulate în teritoriul ITI: 3.000.909 Euro (aproximativ 14.848.198 lei). În măsura în care intervenţiile adresate zonei ITI Delta Dunării nu vor atinge valoarea de 3.000.909 Euro (aproximativ 14.848.198 lei), diferenţa va putea fi alocată pentru celelalte zone din regiunile mai puțin dezvoltate.</w:t>
      </w:r>
    </w:p>
    <w:p w14:paraId="5E02118E"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Valoarea asistenței financiare nerambursabile</w:t>
      </w:r>
      <w:r w:rsidRPr="009840C9">
        <w:rPr>
          <w:rFonts w:ascii="Verdana" w:hAnsi="Verdana"/>
          <w:color w:val="313131"/>
          <w:sz w:val="18"/>
          <w:szCs w:val="18"/>
        </w:rPr>
        <w:t> acordate unui proiect nu poate depăși 3.000.000 Euro (aproximativ 14.843.700 lei).</w:t>
      </w:r>
    </w:p>
    <w:p w14:paraId="1068570C"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Durata de implementare a proiectelor este de maximum 12 de luni, cu posibilitatea de prelungire, fără a depăși data de 31 decembrie 2023.</w:t>
      </w:r>
    </w:p>
    <w:p w14:paraId="0DE00E67"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Valoarea totală a oricărui tip de proiect din cadrul acestei acțiuni (costuri eligibile şi neeligibile) nu poate depăşi echivalentul în lei a 50 milioane euro.</w:t>
      </w:r>
    </w:p>
    <w:p w14:paraId="67952AE1"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Style w:val="Strong"/>
          <w:color w:val="313131"/>
        </w:rPr>
        <w:t>Tipuri de activități eligibile</w:t>
      </w:r>
    </w:p>
    <w:p w14:paraId="609AF30C" w14:textId="77777777" w:rsidR="00C91B48" w:rsidRPr="009840C9" w:rsidRDefault="00C91B48" w:rsidP="00CF784D">
      <w:pPr>
        <w:numPr>
          <w:ilvl w:val="0"/>
          <w:numId w:val="27"/>
        </w:numPr>
        <w:rPr>
          <w:color w:val="313131"/>
          <w:szCs w:val="18"/>
        </w:rPr>
      </w:pPr>
      <w:r w:rsidRPr="009840C9">
        <w:rPr>
          <w:color w:val="313131"/>
          <w:szCs w:val="18"/>
        </w:rPr>
        <w:t>Dezvoltare experimentală;</w:t>
      </w:r>
    </w:p>
    <w:p w14:paraId="336AF01F" w14:textId="77777777" w:rsidR="00C91B48" w:rsidRPr="009840C9" w:rsidRDefault="00C91B48" w:rsidP="00CF784D">
      <w:pPr>
        <w:numPr>
          <w:ilvl w:val="0"/>
          <w:numId w:val="27"/>
        </w:numPr>
        <w:rPr>
          <w:color w:val="313131"/>
          <w:szCs w:val="18"/>
        </w:rPr>
      </w:pPr>
      <w:r w:rsidRPr="009840C9">
        <w:rPr>
          <w:color w:val="313131"/>
          <w:szCs w:val="18"/>
        </w:rPr>
        <w:t>Activități de inovare privind obţinerea, validarea și protejarea brevetelor și altor active necorporale;</w:t>
      </w:r>
    </w:p>
    <w:p w14:paraId="288AAA28" w14:textId="77777777" w:rsidR="00C91B48" w:rsidRPr="009840C9" w:rsidRDefault="00C91B48" w:rsidP="00CF784D">
      <w:pPr>
        <w:numPr>
          <w:ilvl w:val="0"/>
          <w:numId w:val="27"/>
        </w:numPr>
        <w:rPr>
          <w:color w:val="313131"/>
          <w:szCs w:val="18"/>
        </w:rPr>
      </w:pPr>
      <w:r w:rsidRPr="009840C9">
        <w:rPr>
          <w:color w:val="313131"/>
          <w:szCs w:val="18"/>
        </w:rPr>
        <w:t>Alte activități de inovare:</w:t>
      </w:r>
    </w:p>
    <w:p w14:paraId="6AAE92A6" w14:textId="77777777" w:rsidR="00C91B48" w:rsidRPr="009840C9" w:rsidRDefault="00C91B48" w:rsidP="00CF784D">
      <w:pPr>
        <w:numPr>
          <w:ilvl w:val="1"/>
          <w:numId w:val="27"/>
        </w:numPr>
        <w:rPr>
          <w:color w:val="313131"/>
          <w:szCs w:val="18"/>
        </w:rPr>
      </w:pPr>
      <w:r w:rsidRPr="009840C9">
        <w:rPr>
          <w:color w:val="313131"/>
          <w:szCs w:val="18"/>
        </w:rPr>
        <w:t>detașarea de personal cu înaltă calificare;</w:t>
      </w:r>
    </w:p>
    <w:p w14:paraId="463CED81" w14:textId="77777777" w:rsidR="00C91B48" w:rsidRPr="009840C9" w:rsidRDefault="00C91B48" w:rsidP="00CF784D">
      <w:pPr>
        <w:numPr>
          <w:ilvl w:val="1"/>
          <w:numId w:val="27"/>
        </w:numPr>
        <w:rPr>
          <w:color w:val="313131"/>
          <w:szCs w:val="18"/>
        </w:rPr>
      </w:pPr>
      <w:r w:rsidRPr="009840C9">
        <w:rPr>
          <w:color w:val="313131"/>
          <w:szCs w:val="18"/>
        </w:rPr>
        <w:t>achiziția de servicii de consultanță în domeniul inovării;</w:t>
      </w:r>
    </w:p>
    <w:p w14:paraId="2A7049BA" w14:textId="77777777" w:rsidR="00C91B48" w:rsidRPr="009840C9" w:rsidRDefault="00C91B48" w:rsidP="00CF784D">
      <w:pPr>
        <w:numPr>
          <w:ilvl w:val="1"/>
          <w:numId w:val="27"/>
        </w:numPr>
        <w:rPr>
          <w:color w:val="313131"/>
          <w:szCs w:val="18"/>
        </w:rPr>
      </w:pPr>
      <w:r w:rsidRPr="009840C9">
        <w:rPr>
          <w:color w:val="313131"/>
          <w:szCs w:val="18"/>
        </w:rPr>
        <w:t>achiziția de servicii de sprijinire a inovării;</w:t>
      </w:r>
    </w:p>
    <w:p w14:paraId="30C93292" w14:textId="77777777" w:rsidR="00C91B48" w:rsidRPr="009840C9" w:rsidRDefault="00C91B48" w:rsidP="00CF784D">
      <w:pPr>
        <w:numPr>
          <w:ilvl w:val="0"/>
          <w:numId w:val="28"/>
        </w:numPr>
        <w:rPr>
          <w:color w:val="313131"/>
          <w:szCs w:val="18"/>
        </w:rPr>
      </w:pPr>
      <w:r w:rsidRPr="009840C9">
        <w:rPr>
          <w:color w:val="313131"/>
          <w:szCs w:val="18"/>
        </w:rPr>
        <w:t>Inovare de proces și organizațională;</w:t>
      </w:r>
    </w:p>
    <w:p w14:paraId="31A5E840" w14:textId="77777777" w:rsidR="00C91B48" w:rsidRPr="009840C9" w:rsidRDefault="00C91B48" w:rsidP="00CF784D">
      <w:pPr>
        <w:numPr>
          <w:ilvl w:val="0"/>
          <w:numId w:val="28"/>
        </w:numPr>
        <w:rPr>
          <w:color w:val="313131"/>
          <w:szCs w:val="18"/>
        </w:rPr>
      </w:pPr>
      <w:r w:rsidRPr="009840C9">
        <w:rPr>
          <w:color w:val="313131"/>
          <w:szCs w:val="18"/>
        </w:rPr>
        <w:lastRenderedPageBreak/>
        <w:t>Investiții inițiale pentru inovare în vederea introducerii în producție a rezultatelor obținute din cercetare-dezvoltare - Pentru această activitate se va acorda o asistenţă financiară nerambursabilă de până la 1.500.000 euro (aproximativ 7.421.850 lei).</w:t>
      </w:r>
    </w:p>
    <w:p w14:paraId="44CBB797" w14:textId="77777777" w:rsidR="00C91B48" w:rsidRPr="009840C9" w:rsidRDefault="00306065" w:rsidP="009840C9">
      <w:pPr>
        <w:pStyle w:val="NormalWeb"/>
        <w:spacing w:before="120" w:beforeAutospacing="0" w:after="0" w:afterAutospacing="0"/>
        <w:rPr>
          <w:rFonts w:ascii="Verdana" w:hAnsi="Verdana"/>
          <w:color w:val="313131"/>
          <w:sz w:val="18"/>
          <w:szCs w:val="18"/>
        </w:rPr>
      </w:pPr>
      <w:hyperlink r:id="rId36" w:tgtFrame="_blank" w:history="1">
        <w:r w:rsidR="00C91B48" w:rsidRPr="009840C9">
          <w:rPr>
            <w:rStyle w:val="Emphasis"/>
            <w:b/>
            <w:bCs/>
            <w:color w:val="0000FF"/>
            <w:u w:val="single"/>
          </w:rPr>
          <w:t>Descarcă</w:t>
        </w:r>
      </w:hyperlink>
      <w:r w:rsidR="00C91B48" w:rsidRPr="009840C9">
        <w:rPr>
          <w:rFonts w:ascii="Verdana" w:hAnsi="Verdana"/>
          <w:color w:val="313131"/>
          <w:sz w:val="18"/>
          <w:szCs w:val="18"/>
        </w:rPr>
        <w:t> ghidul</w:t>
      </w:r>
    </w:p>
    <w:p w14:paraId="564EFB9D"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Potrivit ordinului, în termen de 5 zile de la publicarea documentului (respectiv 8 iunie 2022), se vor realiza demersurile necesare pentru validarea apelului lansat în cadrul aplicației MySMIS. </w:t>
      </w:r>
    </w:p>
    <w:p w14:paraId="2F17951F" w14:textId="77777777" w:rsidR="00C91B48" w:rsidRPr="009840C9" w:rsidRDefault="00C91B48"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Perioada de depunere va fi de 30 zile calendaristice după lansarea apelului în MySMIS. </w:t>
      </w:r>
    </w:p>
    <w:p w14:paraId="2687F92C" w14:textId="77777777" w:rsidR="00C91B48" w:rsidRPr="009840C9" w:rsidRDefault="00C91B48" w:rsidP="00516DE2">
      <w:pPr>
        <w:pStyle w:val="Stilsursa"/>
      </w:pPr>
      <w:r w:rsidRPr="009840C9">
        <w:t>Sursa: MIPE </w:t>
      </w:r>
    </w:p>
    <w:p w14:paraId="41CBB1B5" w14:textId="496EC867" w:rsidR="00C91B48" w:rsidRPr="009840C9" w:rsidRDefault="00C91B48" w:rsidP="00516DE2">
      <w:pPr>
        <w:pStyle w:val="separatorarticole"/>
      </w:pPr>
      <w:r w:rsidRPr="009840C9">
        <w:t>*</w:t>
      </w:r>
    </w:p>
    <w:p w14:paraId="75722CA2" w14:textId="77777777" w:rsidR="000C58A2" w:rsidRPr="009840C9" w:rsidRDefault="000C58A2" w:rsidP="00516DE2">
      <w:pPr>
        <w:pStyle w:val="TitluArticolinINFOUE"/>
        <w:rPr>
          <w:lang w:eastAsia="ro-RO"/>
        </w:rPr>
      </w:pPr>
      <w:bookmarkStart w:id="166" w:name="_Toc106112266"/>
      <w:r w:rsidRPr="009840C9">
        <w:t>Aproape 26 milioane de lei pentru eficientizare energetică, servicii sociale și consolidarea poziției pe piață a unor microîntreprinderi prin POR</w:t>
      </w:r>
      <w:bookmarkEnd w:id="166"/>
    </w:p>
    <w:p w14:paraId="554A0193"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Ministrul dezvoltării, lucrărilor publice și administrației, Cseke Attila, a semnat 13 noi contracte de finanțare prin Programul Operațional Regional 2014-2020, în valoare totală nerambursabilă de 25.994.749,18 lei, se arată în comunicatul oficial publicat luni, 6 iunie 2022. </w:t>
      </w:r>
    </w:p>
    <w:p w14:paraId="132B3C85"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Dintre acestea, 6 proiecte vizează creșterea eficienței energetice și modernizarea infrastructurii sociale din:</w:t>
      </w:r>
    </w:p>
    <w:p w14:paraId="7CBD852B" w14:textId="77777777" w:rsidR="000C58A2" w:rsidRPr="009840C9" w:rsidRDefault="000C58A2" w:rsidP="00CF784D">
      <w:pPr>
        <w:numPr>
          <w:ilvl w:val="0"/>
          <w:numId w:val="24"/>
        </w:numPr>
        <w:rPr>
          <w:color w:val="313131"/>
          <w:szCs w:val="18"/>
        </w:rPr>
      </w:pPr>
      <w:r w:rsidRPr="009840C9">
        <w:rPr>
          <w:color w:val="313131"/>
          <w:szCs w:val="18"/>
        </w:rPr>
        <w:t>municipiul Adjud (jud. Vrancea), pentru lucrări de intervenție în vederea creșterii performanței energetice a Spitalului Municipal și a stației de salvare, va beneficia de 8.964.561,50 lei;</w:t>
      </w:r>
    </w:p>
    <w:p w14:paraId="0DAAAE12" w14:textId="77777777" w:rsidR="000C58A2" w:rsidRPr="009840C9" w:rsidRDefault="000C58A2" w:rsidP="00CF784D">
      <w:pPr>
        <w:numPr>
          <w:ilvl w:val="0"/>
          <w:numId w:val="24"/>
        </w:numPr>
        <w:rPr>
          <w:color w:val="313131"/>
          <w:szCs w:val="18"/>
        </w:rPr>
      </w:pPr>
      <w:r w:rsidRPr="009840C9">
        <w:rPr>
          <w:color w:val="313131"/>
          <w:szCs w:val="18"/>
        </w:rPr>
        <w:t>municipiul Focșani (jud. Vrancea) va beneficia de 4.960.459,56 lei pentru creșterea eficienței energetice la Liceul de Artă ”Gheorghe Tăttărescu”;</w:t>
      </w:r>
    </w:p>
    <w:p w14:paraId="67E4AE4C" w14:textId="77777777" w:rsidR="000C58A2" w:rsidRPr="009840C9" w:rsidRDefault="000C58A2" w:rsidP="00CF784D">
      <w:pPr>
        <w:numPr>
          <w:ilvl w:val="0"/>
          <w:numId w:val="24"/>
        </w:numPr>
        <w:rPr>
          <w:color w:val="313131"/>
          <w:szCs w:val="18"/>
        </w:rPr>
      </w:pPr>
      <w:r w:rsidRPr="009840C9">
        <w:rPr>
          <w:color w:val="313131"/>
          <w:szCs w:val="18"/>
        </w:rPr>
        <w:t>municipiul Săcele (jud. Brașov), pentru crearea de spații pentru activități comunitare și petrecerea timpului liber, va beneficia de 405.667 lei;</w:t>
      </w:r>
    </w:p>
    <w:p w14:paraId="4AFF7792" w14:textId="77777777" w:rsidR="000C58A2" w:rsidRPr="009840C9" w:rsidRDefault="000C58A2" w:rsidP="00CF784D">
      <w:pPr>
        <w:numPr>
          <w:ilvl w:val="0"/>
          <w:numId w:val="24"/>
        </w:numPr>
        <w:rPr>
          <w:color w:val="313131"/>
          <w:szCs w:val="18"/>
        </w:rPr>
      </w:pPr>
      <w:r w:rsidRPr="009840C9">
        <w:rPr>
          <w:color w:val="313131"/>
          <w:szCs w:val="18"/>
        </w:rPr>
        <w:t>comuna Săuca (jud. Satu Mare), va beneficia de 464.989,44 lei pentru extinderea Centrului Comunitar multifuncțional de servicii integrate;</w:t>
      </w:r>
    </w:p>
    <w:p w14:paraId="459AED56" w14:textId="77777777" w:rsidR="000C58A2" w:rsidRPr="009840C9" w:rsidRDefault="000C58A2" w:rsidP="00CF784D">
      <w:pPr>
        <w:numPr>
          <w:ilvl w:val="0"/>
          <w:numId w:val="24"/>
        </w:numPr>
        <w:rPr>
          <w:color w:val="313131"/>
          <w:szCs w:val="18"/>
        </w:rPr>
      </w:pPr>
      <w:r w:rsidRPr="009840C9">
        <w:rPr>
          <w:color w:val="313131"/>
          <w:szCs w:val="18"/>
        </w:rPr>
        <w:t>comuna Tătărăști (jud. Bacău), pentru construirea unui centru comunitar integrat, va beneficia de 482.424,60 lei;</w:t>
      </w:r>
    </w:p>
    <w:p w14:paraId="638FD927" w14:textId="77777777" w:rsidR="000C58A2" w:rsidRPr="009840C9" w:rsidRDefault="000C58A2" w:rsidP="00CF784D">
      <w:pPr>
        <w:numPr>
          <w:ilvl w:val="0"/>
          <w:numId w:val="24"/>
        </w:numPr>
        <w:rPr>
          <w:color w:val="313131"/>
          <w:szCs w:val="18"/>
        </w:rPr>
      </w:pPr>
      <w:r w:rsidRPr="009840C9">
        <w:rPr>
          <w:color w:val="313131"/>
          <w:szCs w:val="18"/>
        </w:rPr>
        <w:t>municipiul Vulcan (jud. Hunedoara), va beneficia de 5.308.375,75 lei pentru înființarea unui Centru de resurse comunitare pentru persoane din comunități dezavantajate.</w:t>
      </w:r>
    </w:p>
    <w:p w14:paraId="208A9000"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Alte 7 proiecte au ca obiectiv promovarea spiritului antreprenorial, prin dezvoltarea activității și achiziționarea de echipamente moderne.</w:t>
      </w:r>
    </w:p>
    <w:p w14:paraId="7EC319E0" w14:textId="77777777" w:rsidR="000C58A2" w:rsidRPr="009840C9" w:rsidRDefault="000C58A2" w:rsidP="00516DE2">
      <w:pPr>
        <w:pStyle w:val="Stilsursa"/>
      </w:pPr>
      <w:r w:rsidRPr="009840C9">
        <w:t>Sursa: MDLPA </w:t>
      </w:r>
    </w:p>
    <w:p w14:paraId="3F149C5B" w14:textId="1DC4AA53" w:rsidR="000C58A2" w:rsidRPr="009840C9" w:rsidRDefault="000C58A2" w:rsidP="00516DE2">
      <w:pPr>
        <w:pStyle w:val="separatorarticole"/>
      </w:pPr>
      <w:r w:rsidRPr="009840C9">
        <w:t>*</w:t>
      </w:r>
    </w:p>
    <w:p w14:paraId="57C8CD89" w14:textId="77777777" w:rsidR="000C58A2" w:rsidRPr="009840C9" w:rsidRDefault="000C58A2" w:rsidP="00516DE2">
      <w:pPr>
        <w:pStyle w:val="TitluArticolinINFOUE"/>
        <w:rPr>
          <w:lang w:eastAsia="ro-RO"/>
        </w:rPr>
      </w:pPr>
      <w:bookmarkStart w:id="167" w:name="_Toc106112267"/>
      <w:r w:rsidRPr="009840C9">
        <w:t>POC: Finanțare de 8 milioane de euro pentru întreprinderile inovatoare de tip start-up și spin-off</w:t>
      </w:r>
      <w:bookmarkEnd w:id="167"/>
    </w:p>
    <w:p w14:paraId="0D3B9B5A"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AM POC a publicat astăzi, 7 iunie 2022, Ghidul solicitantului aferent </w:t>
      </w:r>
      <w:r w:rsidRPr="009840C9">
        <w:rPr>
          <w:rStyle w:val="Emphasis"/>
          <w:b/>
          <w:bCs/>
          <w:color w:val="313131"/>
        </w:rPr>
        <w:t>Acțiunii 1.2.1</w:t>
      </w:r>
      <w:r w:rsidRPr="009840C9">
        <w:rPr>
          <w:rFonts w:ascii="Verdana" w:hAnsi="Verdana"/>
          <w:color w:val="313131"/>
          <w:sz w:val="18"/>
          <w:szCs w:val="18"/>
        </w:rPr>
        <w:t> Stimularea cererii întreprinderilor pentru inovare prin proiecte de CDI derulate de întreprinderi individual sau în parteneriat cu institutele de CD și universități, în scopul inovării de procese și de produse în sectoarele economice care prezintă potențial de creștere Tip de proiect: </w:t>
      </w:r>
      <w:r w:rsidRPr="009840C9">
        <w:rPr>
          <w:rStyle w:val="Emphasis"/>
          <w:b/>
          <w:bCs/>
          <w:color w:val="313131"/>
        </w:rPr>
        <w:t>Întreprinderi inovatoare de tip start-up și spin-off</w:t>
      </w:r>
      <w:r w:rsidRPr="009840C9">
        <w:rPr>
          <w:rFonts w:ascii="Verdana" w:hAnsi="Verdana"/>
          <w:color w:val="313131"/>
          <w:sz w:val="18"/>
          <w:szCs w:val="18"/>
        </w:rPr>
        <w:t>. </w:t>
      </w:r>
    </w:p>
    <w:p w14:paraId="42C37CB3"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Style w:val="Strong"/>
          <w:color w:val="313131"/>
        </w:rPr>
        <w:t>Tipuri de solicitanți </w:t>
      </w:r>
    </w:p>
    <w:p w14:paraId="6093B0EC" w14:textId="77777777" w:rsidR="000C58A2" w:rsidRPr="009840C9" w:rsidRDefault="000C58A2" w:rsidP="00CF784D">
      <w:pPr>
        <w:numPr>
          <w:ilvl w:val="0"/>
          <w:numId w:val="21"/>
        </w:numPr>
        <w:rPr>
          <w:color w:val="313131"/>
          <w:szCs w:val="18"/>
        </w:rPr>
      </w:pPr>
      <w:r w:rsidRPr="009840C9">
        <w:rPr>
          <w:color w:val="313131"/>
          <w:szCs w:val="18"/>
        </w:rPr>
        <w:t>Start-up-uri: întreprinderi, înființate în baza Legii nr. 31/1990 privind societățile comerciale, care  înregistrează o vechime de maximum 3 ani la data depunerii cererii de finanțare. Solicitantul poate fi organizat inclusiv ca SRL-D, în baza OUG nr. 6/2011, cu modificările și completările ulterioare. </w:t>
      </w:r>
    </w:p>
    <w:p w14:paraId="1CF73C08" w14:textId="77777777" w:rsidR="000C58A2" w:rsidRPr="009840C9" w:rsidRDefault="000C58A2" w:rsidP="00CF784D">
      <w:pPr>
        <w:numPr>
          <w:ilvl w:val="0"/>
          <w:numId w:val="21"/>
        </w:numPr>
        <w:rPr>
          <w:color w:val="313131"/>
          <w:szCs w:val="18"/>
        </w:rPr>
      </w:pPr>
      <w:r w:rsidRPr="009840C9">
        <w:rPr>
          <w:color w:val="313131"/>
          <w:szCs w:val="18"/>
        </w:rPr>
        <w:lastRenderedPageBreak/>
        <w:t>Spin-off-uri: întreprinderi din regiuni mai puțin dezvoltate care urmează să se înfiinţeze pe baza unui rezultat obţinut în organizaţii de cercetare de drept public (instituţie de CD sau de învăţământ superior).</w:t>
      </w:r>
    </w:p>
    <w:p w14:paraId="53C6C0C4"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Style w:val="Strong"/>
          <w:color w:val="313131"/>
        </w:rPr>
        <w:t>Alocare totală și finanțare acordată</w:t>
      </w:r>
    </w:p>
    <w:p w14:paraId="0ADE1272"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Alocarea financiară stabilită pentru apelul de proiecte este de 39.583.200 lei (8.000.000 Euro). Aceasta este dedicată exclusiv beneficiarilor eligibili care au locația de implementare a proiectului în regiunile mai puțin dezvoltate.</w:t>
      </w:r>
    </w:p>
    <w:p w14:paraId="047660D5"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Style w:val="Strong"/>
          <w:color w:val="313131"/>
        </w:rPr>
        <w:t>Valoarea maximă a proiectului, rata de cofinanțare</w:t>
      </w:r>
    </w:p>
    <w:p w14:paraId="4C6D6E72"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Asistenţa financiară nerambursabilă pe proiect: nu poate depăşi echivalentul în lei a 200.000 Euro (aprox. 989.580 lei),  pe o perioadă de trei ani fiscali consecutivi, indiferent dacă ajutorul a fost acordat din surse naţionale sau europene.</w:t>
      </w:r>
    </w:p>
    <w:p w14:paraId="1D32E58E"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Pentru beneficiarii care îşi desfăşoară activitatea în sectorul transportului rutier, valoarea totală a asistenţei financiare nerambursabile nu poate depăşi 100.000 Euro, (aprox. 494.790 lei), pe o perioadă de trei ani fiscali consecutivi, indiferent dacă ajutorul a fost acordat din surse naţionale sau  europene.</w:t>
      </w:r>
    </w:p>
    <w:p w14:paraId="449D3FC5"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Valoarea grantului va reprezenta maxim 90% din valoarea totală a costurilor eligibile ale proiectului. Restul de 10% din costurile eligibile ale proiectului va reprezenta contribuţia proprie a beneficiarului din fonduri private.</w:t>
      </w:r>
    </w:p>
    <w:p w14:paraId="5FA43178"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Style w:val="Strong"/>
          <w:color w:val="313131"/>
        </w:rPr>
        <w:t>Cheltuieli eligibile</w:t>
      </w:r>
    </w:p>
    <w:p w14:paraId="390ABEAE" w14:textId="77777777" w:rsidR="000C58A2" w:rsidRPr="009840C9" w:rsidRDefault="000C58A2" w:rsidP="00CF784D">
      <w:pPr>
        <w:numPr>
          <w:ilvl w:val="0"/>
          <w:numId w:val="22"/>
        </w:numPr>
        <w:rPr>
          <w:color w:val="313131"/>
          <w:szCs w:val="18"/>
        </w:rPr>
      </w:pPr>
      <w:r w:rsidRPr="009840C9">
        <w:rPr>
          <w:color w:val="313131"/>
          <w:szCs w:val="18"/>
        </w:rPr>
        <w:t>Cheltuieli pentru activităţile de cercetare-dezvoltare (cercetare industrială/ dezvoltare experimentală);</w:t>
      </w:r>
    </w:p>
    <w:p w14:paraId="6C41FD3D" w14:textId="77777777" w:rsidR="000C58A2" w:rsidRPr="009840C9" w:rsidRDefault="000C58A2" w:rsidP="00CF784D">
      <w:pPr>
        <w:numPr>
          <w:ilvl w:val="0"/>
          <w:numId w:val="22"/>
        </w:numPr>
        <w:rPr>
          <w:color w:val="313131"/>
          <w:szCs w:val="18"/>
        </w:rPr>
      </w:pPr>
      <w:r w:rsidRPr="009840C9">
        <w:rPr>
          <w:color w:val="313131"/>
          <w:szCs w:val="18"/>
        </w:rPr>
        <w:t>Cheltuieli pentru introducerea în producţie a rezultatelor cercetării şi realizarea produsului/procesului/tehnologiei/serviciului; </w:t>
      </w:r>
    </w:p>
    <w:p w14:paraId="3A9CF9CF" w14:textId="77777777" w:rsidR="000C58A2" w:rsidRPr="009840C9" w:rsidRDefault="000C58A2" w:rsidP="00CF784D">
      <w:pPr>
        <w:numPr>
          <w:ilvl w:val="0"/>
          <w:numId w:val="22"/>
        </w:numPr>
        <w:rPr>
          <w:color w:val="313131"/>
          <w:szCs w:val="18"/>
        </w:rPr>
      </w:pPr>
      <w:r w:rsidRPr="009840C9">
        <w:rPr>
          <w:color w:val="313131"/>
          <w:szCs w:val="18"/>
        </w:rPr>
        <w:t>Cheltuieli pentru servicii de consultanţă în domeniul inovării şi pentru serviciile de sprijinire a inovării;</w:t>
      </w:r>
    </w:p>
    <w:p w14:paraId="33283C5D" w14:textId="77777777" w:rsidR="000C58A2" w:rsidRPr="009840C9" w:rsidRDefault="000C58A2" w:rsidP="00CF784D">
      <w:pPr>
        <w:numPr>
          <w:ilvl w:val="0"/>
          <w:numId w:val="22"/>
        </w:numPr>
        <w:rPr>
          <w:color w:val="313131"/>
          <w:szCs w:val="18"/>
        </w:rPr>
      </w:pPr>
      <w:r w:rsidRPr="009840C9">
        <w:rPr>
          <w:color w:val="313131"/>
          <w:szCs w:val="18"/>
        </w:rPr>
        <w:t>Cheltuieli generale de administraţie (de regie);</w:t>
      </w:r>
    </w:p>
    <w:p w14:paraId="29A07E2C" w14:textId="77777777" w:rsidR="000C58A2" w:rsidRPr="009840C9" w:rsidRDefault="000C58A2" w:rsidP="00CF784D">
      <w:pPr>
        <w:numPr>
          <w:ilvl w:val="0"/>
          <w:numId w:val="22"/>
        </w:numPr>
        <w:rPr>
          <w:color w:val="313131"/>
          <w:szCs w:val="18"/>
        </w:rPr>
      </w:pPr>
      <w:r w:rsidRPr="009840C9">
        <w:rPr>
          <w:color w:val="313131"/>
          <w:szCs w:val="18"/>
        </w:rPr>
        <w:t>Cheltuieli pentru informare şi publicitate pentru proiect (obligatorii);</w:t>
      </w:r>
    </w:p>
    <w:p w14:paraId="0D153547" w14:textId="77777777" w:rsidR="000C58A2" w:rsidRPr="009840C9" w:rsidRDefault="000C58A2" w:rsidP="00CF784D">
      <w:pPr>
        <w:numPr>
          <w:ilvl w:val="0"/>
          <w:numId w:val="22"/>
        </w:numPr>
        <w:rPr>
          <w:color w:val="313131"/>
          <w:szCs w:val="18"/>
        </w:rPr>
      </w:pPr>
      <w:r w:rsidRPr="009840C9">
        <w:rPr>
          <w:color w:val="313131"/>
          <w:szCs w:val="18"/>
        </w:rPr>
        <w:t>Cheltuieli pentru înființarea şi înregistrarea SPIN-OFF-urilor;</w:t>
      </w:r>
    </w:p>
    <w:p w14:paraId="01A9AFBA" w14:textId="77777777" w:rsidR="000C58A2" w:rsidRPr="009840C9" w:rsidRDefault="000C58A2" w:rsidP="00CF784D">
      <w:pPr>
        <w:numPr>
          <w:ilvl w:val="0"/>
          <w:numId w:val="22"/>
        </w:numPr>
        <w:rPr>
          <w:color w:val="313131"/>
          <w:szCs w:val="18"/>
        </w:rPr>
      </w:pPr>
      <w:r w:rsidRPr="009840C9">
        <w:rPr>
          <w:color w:val="313131"/>
          <w:szCs w:val="18"/>
        </w:rPr>
        <w:t>Cheltuieli cu taxe/abonamente/cotizații/acorduri/ autorizații necesare pentru implementarea proiectului.</w:t>
      </w:r>
    </w:p>
    <w:p w14:paraId="65C71842" w14:textId="77777777" w:rsidR="000C58A2" w:rsidRPr="009840C9" w:rsidRDefault="000C58A2"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Perioada de depunere este de 30 zile calendaristice după lansarea apelului în MySMIS. Potrivit ordinului 875 pentru aprobare a ghidului, în termen de 5 zile lucrătoare de la publicarea pe site a acestuia (respectiv 07 iunie 2022), se vor realiza demersurile necesare pentru validarea apelului lansat în cadrul aplicației MySMIS. </w:t>
      </w:r>
    </w:p>
    <w:p w14:paraId="21FA83D5" w14:textId="77777777" w:rsidR="000C58A2" w:rsidRPr="009840C9" w:rsidRDefault="00306065" w:rsidP="009840C9">
      <w:pPr>
        <w:pStyle w:val="NormalWeb"/>
        <w:spacing w:before="120" w:beforeAutospacing="0" w:after="0" w:afterAutospacing="0"/>
        <w:rPr>
          <w:rFonts w:ascii="Verdana" w:hAnsi="Verdana"/>
          <w:color w:val="313131"/>
          <w:sz w:val="18"/>
          <w:szCs w:val="18"/>
        </w:rPr>
      </w:pPr>
      <w:hyperlink r:id="rId37" w:tgtFrame="_blank" w:history="1">
        <w:r w:rsidR="000C58A2" w:rsidRPr="009840C9">
          <w:rPr>
            <w:rStyle w:val="Emphasis"/>
            <w:b/>
            <w:bCs/>
            <w:color w:val="0000FF"/>
            <w:u w:val="single"/>
          </w:rPr>
          <w:t>Descarcă</w:t>
        </w:r>
      </w:hyperlink>
      <w:r w:rsidR="000C58A2" w:rsidRPr="009840C9">
        <w:rPr>
          <w:rFonts w:ascii="Verdana" w:hAnsi="Verdana"/>
          <w:color w:val="313131"/>
          <w:sz w:val="18"/>
          <w:szCs w:val="18"/>
        </w:rPr>
        <w:t> ghidul</w:t>
      </w:r>
    </w:p>
    <w:p w14:paraId="6433AFDE" w14:textId="77777777" w:rsidR="000C58A2" w:rsidRPr="009840C9" w:rsidRDefault="000C58A2" w:rsidP="00E01152">
      <w:pPr>
        <w:pStyle w:val="Stilsursa"/>
      </w:pPr>
      <w:r w:rsidRPr="009840C9">
        <w:t>Sursa. MIPE </w:t>
      </w:r>
    </w:p>
    <w:p w14:paraId="79475CBD" w14:textId="2DEED65B" w:rsidR="000C58A2" w:rsidRPr="009840C9" w:rsidRDefault="000C58A2" w:rsidP="00E01152">
      <w:pPr>
        <w:pStyle w:val="separatorarticole"/>
      </w:pPr>
      <w:r w:rsidRPr="009840C9">
        <w:t>*</w:t>
      </w:r>
    </w:p>
    <w:p w14:paraId="309EA950" w14:textId="77777777" w:rsidR="004F1430" w:rsidRPr="009840C9" w:rsidRDefault="004F1430" w:rsidP="00E01152">
      <w:pPr>
        <w:pStyle w:val="TitluArticolinINFOUE"/>
        <w:rPr>
          <w:lang w:eastAsia="ro-RO"/>
        </w:rPr>
      </w:pPr>
      <w:bookmarkStart w:id="168" w:name="_Toc106112268"/>
      <w:r w:rsidRPr="009840C9">
        <w:t>POC: 15 milioane de euro pentru asigurarea securității cibernetice a sistemelor TIC și a rețelelor informatice</w:t>
      </w:r>
      <w:bookmarkEnd w:id="168"/>
    </w:p>
    <w:p w14:paraId="07B8B0F5"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AM POC a anunțat ieri, 6 iunie 2022, deschiderea celui de-al treilea apel de proiecte aferent Acțiunii 2.3.2 – Asigurarea securității cibernetice a sistemelor TIC și a rețelelor informatice. Codul apelului în aplicația MySMIS va fi POC/1019/2/4/. Ghidul solicitantului, în baza căruia se vor finanța proiectele depuse, a fost aprobat prin Ordinul ministrului fondurilor europene cu numărul 864/02.06.2022.</w:t>
      </w:r>
    </w:p>
    <w:p w14:paraId="536963C5"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Perioada de depunere a proiectelor este 07.06.2022, orele 09.00 - 06.07.2022, orele 17.00.</w:t>
      </w:r>
    </w:p>
    <w:p w14:paraId="0D256253"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Proiectele finanțate în cadrul apelului 3 vor urmări dezvoltarea infrastructurii și a capacității de gestionare a riscurilor în domeniul securității cibernetice și a capacității de reacție la incidente cibernetice prin:</w:t>
      </w:r>
    </w:p>
    <w:p w14:paraId="6E39B0E3" w14:textId="77777777" w:rsidR="004F1430" w:rsidRPr="009840C9" w:rsidRDefault="004F1430" w:rsidP="00CF784D">
      <w:pPr>
        <w:numPr>
          <w:ilvl w:val="0"/>
          <w:numId w:val="17"/>
        </w:numPr>
        <w:rPr>
          <w:color w:val="313131"/>
          <w:szCs w:val="18"/>
        </w:rPr>
      </w:pPr>
      <w:r w:rsidRPr="009840C9">
        <w:rPr>
          <w:color w:val="313131"/>
          <w:szCs w:val="18"/>
        </w:rPr>
        <w:lastRenderedPageBreak/>
        <w:t>Constituirea şi operaționalizarea sistemului național de securitate cibernetică</w:t>
      </w:r>
    </w:p>
    <w:p w14:paraId="3643F125" w14:textId="77777777" w:rsidR="004F1430" w:rsidRPr="009840C9" w:rsidRDefault="004F1430" w:rsidP="00CF784D">
      <w:pPr>
        <w:numPr>
          <w:ilvl w:val="0"/>
          <w:numId w:val="17"/>
        </w:numPr>
        <w:rPr>
          <w:color w:val="313131"/>
          <w:szCs w:val="18"/>
        </w:rPr>
      </w:pPr>
      <w:r w:rsidRPr="009840C9">
        <w:rPr>
          <w:color w:val="313131"/>
          <w:szCs w:val="18"/>
        </w:rPr>
        <w:t>Dezvoltarea infrastructurii cibernetice existente prin adăugarea de componente de securitate cibernetică care sa permită creșterea capacității de reacție la incidente de Securitate in sensul definit in cadrul ghidului</w:t>
      </w:r>
    </w:p>
    <w:p w14:paraId="6786FBDF" w14:textId="77777777" w:rsidR="004F1430" w:rsidRPr="009840C9" w:rsidRDefault="004F1430" w:rsidP="00CF784D">
      <w:pPr>
        <w:numPr>
          <w:ilvl w:val="0"/>
          <w:numId w:val="17"/>
        </w:numPr>
        <w:rPr>
          <w:color w:val="313131"/>
          <w:szCs w:val="18"/>
        </w:rPr>
      </w:pPr>
      <w:r w:rsidRPr="009840C9">
        <w:rPr>
          <w:color w:val="313131"/>
          <w:szCs w:val="18"/>
        </w:rPr>
        <w:t>Dezvoltarea de aplicaţii destinate asigurării securităţii cibernetice a infrastructurilor cibernetice de interes national</w:t>
      </w:r>
    </w:p>
    <w:p w14:paraId="40797546" w14:textId="77777777" w:rsidR="004F1430" w:rsidRPr="009840C9" w:rsidRDefault="004F1430" w:rsidP="00CF784D">
      <w:pPr>
        <w:numPr>
          <w:ilvl w:val="0"/>
          <w:numId w:val="17"/>
        </w:numPr>
        <w:rPr>
          <w:color w:val="313131"/>
          <w:szCs w:val="18"/>
        </w:rPr>
      </w:pPr>
      <w:r w:rsidRPr="009840C9">
        <w:rPr>
          <w:color w:val="313131"/>
          <w:szCs w:val="18"/>
        </w:rPr>
        <w:t>Dezvoltarea de instrumente software destinate identificării vulnerabilităților la nivel de software și firmware</w:t>
      </w:r>
    </w:p>
    <w:p w14:paraId="0E94E16A" w14:textId="77777777" w:rsidR="004F1430" w:rsidRPr="009840C9" w:rsidRDefault="004F1430" w:rsidP="00CF784D">
      <w:pPr>
        <w:numPr>
          <w:ilvl w:val="0"/>
          <w:numId w:val="17"/>
        </w:numPr>
        <w:rPr>
          <w:color w:val="313131"/>
          <w:szCs w:val="18"/>
        </w:rPr>
      </w:pPr>
      <w:r w:rsidRPr="009840C9">
        <w:rPr>
          <w:color w:val="313131"/>
          <w:szCs w:val="18"/>
        </w:rPr>
        <w:t>Dezvoltarea entităților CERT în sectorul public și privat</w:t>
      </w:r>
    </w:p>
    <w:p w14:paraId="009850F7" w14:textId="77777777" w:rsidR="004F1430" w:rsidRPr="009840C9" w:rsidRDefault="004F1430" w:rsidP="00CF784D">
      <w:pPr>
        <w:numPr>
          <w:ilvl w:val="0"/>
          <w:numId w:val="17"/>
        </w:numPr>
        <w:rPr>
          <w:color w:val="313131"/>
          <w:szCs w:val="18"/>
        </w:rPr>
      </w:pPr>
      <w:r w:rsidRPr="009840C9">
        <w:rPr>
          <w:color w:val="313131"/>
          <w:szCs w:val="18"/>
        </w:rPr>
        <w:t>Crearea cadrului necesar realizării de audit-uri de securitate.</w:t>
      </w:r>
    </w:p>
    <w:p w14:paraId="6E66C2B5" w14:textId="77777777" w:rsidR="004F1430" w:rsidRPr="009840C9" w:rsidRDefault="004F1430" w:rsidP="00CF784D">
      <w:pPr>
        <w:numPr>
          <w:ilvl w:val="0"/>
          <w:numId w:val="17"/>
        </w:numPr>
        <w:rPr>
          <w:color w:val="313131"/>
          <w:szCs w:val="18"/>
        </w:rPr>
      </w:pPr>
      <w:r w:rsidRPr="009840C9">
        <w:rPr>
          <w:color w:val="313131"/>
          <w:szCs w:val="18"/>
        </w:rPr>
        <w:t>Dezvoltarea capabilităţilor de răspuns la incidente cibernetice în sectorul public şi privat.</w:t>
      </w:r>
    </w:p>
    <w:p w14:paraId="774895AF" w14:textId="77777777" w:rsidR="004F1430" w:rsidRPr="009840C9" w:rsidRDefault="004F1430" w:rsidP="00CF784D">
      <w:pPr>
        <w:numPr>
          <w:ilvl w:val="0"/>
          <w:numId w:val="17"/>
        </w:numPr>
        <w:rPr>
          <w:color w:val="313131"/>
          <w:szCs w:val="18"/>
        </w:rPr>
      </w:pPr>
      <w:r w:rsidRPr="009840C9">
        <w:rPr>
          <w:color w:val="313131"/>
          <w:szCs w:val="18"/>
        </w:rPr>
        <w:t>Extinderea cadrului necesar realizării de audit-uri de securitate.</w:t>
      </w:r>
    </w:p>
    <w:p w14:paraId="36A35096" w14:textId="77777777" w:rsidR="004F1430" w:rsidRPr="009840C9" w:rsidRDefault="004F1430" w:rsidP="00CF784D">
      <w:pPr>
        <w:numPr>
          <w:ilvl w:val="0"/>
          <w:numId w:val="17"/>
        </w:numPr>
        <w:rPr>
          <w:color w:val="313131"/>
          <w:szCs w:val="18"/>
        </w:rPr>
      </w:pPr>
      <w:r w:rsidRPr="009840C9">
        <w:rPr>
          <w:color w:val="313131"/>
          <w:szCs w:val="18"/>
        </w:rPr>
        <w:t>Dezvoltarea capabilităţilor de cercetare, dezvoltare, inovare în domeniul securităţii cibernetice folosind tehnologii de inteligenţă artificială și machine learning.</w:t>
      </w:r>
    </w:p>
    <w:p w14:paraId="325767A1"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 În cadrul acestui apel vor fi acceptate proiecte cu valoare maximă nerambursabilă de 15.000.000 euro FEDR, echivalentul în lei –  4.9441 lei la cursul INFOREURO pentru luna iunie 2022. Durata maximă de implementare a proiectului este de cel mult 19 de luni de la data semnării contractului de finanțare.</w:t>
      </w:r>
    </w:p>
    <w:p w14:paraId="5E2F5CDC" w14:textId="77777777" w:rsidR="004F1430" w:rsidRPr="009840C9" w:rsidRDefault="004F1430" w:rsidP="009840C9">
      <w:pPr>
        <w:pStyle w:val="NormalWeb"/>
        <w:spacing w:before="120" w:beforeAutospacing="0" w:after="0" w:afterAutospacing="0"/>
        <w:rPr>
          <w:rFonts w:ascii="Verdana" w:hAnsi="Verdana"/>
          <w:color w:val="313131"/>
          <w:sz w:val="18"/>
          <w:szCs w:val="18"/>
        </w:rPr>
      </w:pPr>
      <w:r w:rsidRPr="009840C9">
        <w:rPr>
          <w:rFonts w:ascii="Verdana" w:hAnsi="Verdana"/>
          <w:color w:val="313131"/>
          <w:sz w:val="18"/>
          <w:szCs w:val="18"/>
        </w:rPr>
        <w:t>Cererile de finanțare se vor depune prin aplicația electronică MySMIS2014, cu toate anexele solicitate prin Ghidul Solicitantului.</w:t>
      </w:r>
    </w:p>
    <w:p w14:paraId="5A0A47CD" w14:textId="77777777" w:rsidR="004F1430" w:rsidRPr="009840C9" w:rsidRDefault="00306065" w:rsidP="009840C9">
      <w:pPr>
        <w:pStyle w:val="NormalWeb"/>
        <w:spacing w:before="120" w:beforeAutospacing="0" w:after="0" w:afterAutospacing="0"/>
        <w:rPr>
          <w:rFonts w:ascii="Verdana" w:hAnsi="Verdana"/>
          <w:color w:val="313131"/>
          <w:sz w:val="18"/>
          <w:szCs w:val="18"/>
        </w:rPr>
      </w:pPr>
      <w:hyperlink r:id="rId38" w:tgtFrame="_blank" w:history="1">
        <w:r w:rsidR="004F1430" w:rsidRPr="009840C9">
          <w:rPr>
            <w:rStyle w:val="Emphasis"/>
            <w:b/>
            <w:bCs/>
            <w:color w:val="0000FF"/>
            <w:u w:val="single"/>
          </w:rPr>
          <w:t>Descarcă</w:t>
        </w:r>
      </w:hyperlink>
      <w:r w:rsidR="004F1430" w:rsidRPr="009840C9">
        <w:rPr>
          <w:rFonts w:ascii="Verdana" w:hAnsi="Verdana"/>
          <w:color w:val="313131"/>
          <w:sz w:val="18"/>
          <w:szCs w:val="18"/>
        </w:rPr>
        <w:t> ghidul</w:t>
      </w:r>
    </w:p>
    <w:p w14:paraId="5771622E" w14:textId="77777777" w:rsidR="004F1430" w:rsidRPr="009840C9" w:rsidRDefault="004F1430" w:rsidP="00E01152">
      <w:pPr>
        <w:pStyle w:val="Stilsursa"/>
      </w:pPr>
      <w:r w:rsidRPr="009840C9">
        <w:t>Sursa: MIPE </w:t>
      </w:r>
    </w:p>
    <w:p w14:paraId="3072EA09" w14:textId="33D06F54" w:rsidR="004F1430" w:rsidRPr="009840C9" w:rsidRDefault="004F1430" w:rsidP="00E01152">
      <w:pPr>
        <w:pStyle w:val="separatorarticole"/>
      </w:pPr>
      <w:r w:rsidRPr="009840C9">
        <w:t>*</w:t>
      </w:r>
    </w:p>
    <w:p w14:paraId="7EC712AD" w14:textId="77777777" w:rsidR="008B23DB" w:rsidRDefault="008B23DB"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7423C9">
      <w:pPr>
        <w:pStyle w:val="DinactualitateaEU"/>
      </w:pPr>
      <w:bookmarkStart w:id="169" w:name="_Toc106112269"/>
      <w:r w:rsidRPr="00AA06A7">
        <w:t>Din actualitatea europeană</w:t>
      </w:r>
      <w:bookmarkEnd w:id="169"/>
    </w:p>
    <w:p w14:paraId="670C736E" w14:textId="77777777" w:rsidR="0072258E" w:rsidRPr="0072258E" w:rsidRDefault="0072258E" w:rsidP="0072258E">
      <w:pPr>
        <w:pStyle w:val="TitluArticolinINFOUE"/>
        <w:rPr>
          <w:lang w:eastAsia="ro-RO"/>
        </w:rPr>
      </w:pPr>
      <w:bookmarkStart w:id="170" w:name="_Toc106112270"/>
      <w:r w:rsidRPr="0072258E">
        <w:t>Politica de coeziune a UE: peste 127 milioane EUR pentru modernizarea infrastructurii de apă și apă uzată din România</w:t>
      </w:r>
      <w:bookmarkEnd w:id="170"/>
    </w:p>
    <w:p w14:paraId="63B53141" w14:textId="77777777" w:rsidR="0072258E" w:rsidRPr="0072258E" w:rsidRDefault="0072258E" w:rsidP="0072258E">
      <w:pPr>
        <w:pStyle w:val="ecl-page-header-standardiseddescription"/>
        <w:shd w:val="clear" w:color="auto" w:fill="FFFFFF"/>
        <w:spacing w:before="120" w:beforeAutospacing="0" w:after="0" w:afterAutospacing="0"/>
        <w:rPr>
          <w:rFonts w:ascii="Verdana" w:hAnsi="Verdana" w:cs="Arial"/>
          <w:color w:val="404040"/>
          <w:sz w:val="18"/>
          <w:szCs w:val="18"/>
        </w:rPr>
      </w:pPr>
      <w:r w:rsidRPr="0072258E">
        <w:rPr>
          <w:rFonts w:ascii="Verdana" w:hAnsi="Verdana" w:cs="Arial"/>
          <w:color w:val="404040"/>
          <w:sz w:val="18"/>
          <w:szCs w:val="18"/>
        </w:rPr>
        <w:t>Comisia a aprobat o investiție de peste 127 milioane EUR din </w:t>
      </w:r>
      <w:hyperlink r:id="rId39" w:history="1">
        <w:r w:rsidRPr="0072258E">
          <w:rPr>
            <w:rStyle w:val="Hyperlink"/>
            <w:rFonts w:cs="Arial"/>
            <w:color w:val="004494"/>
          </w:rPr>
          <w:t>Fondul de coeziune</w:t>
        </w:r>
      </w:hyperlink>
      <w:r w:rsidRPr="0072258E">
        <w:rPr>
          <w:rFonts w:ascii="Verdana" w:hAnsi="Verdana" w:cs="Arial"/>
          <w:color w:val="404040"/>
          <w:sz w:val="18"/>
          <w:szCs w:val="18"/>
        </w:rPr>
        <w:t> pentru a rezolva problemele de aprovizionare cu apă prin dezvoltarea infrastructurii de apă și apă uzată din județul Buzău.</w:t>
      </w:r>
    </w:p>
    <w:p w14:paraId="6C556EFB" w14:textId="2EB786FC" w:rsidR="0072258E" w:rsidRPr="0072258E" w:rsidRDefault="0072258E" w:rsidP="0072258E">
      <w:pPr>
        <w:rPr>
          <w:color w:val="404040"/>
          <w:szCs w:val="18"/>
        </w:rPr>
      </w:pPr>
      <w:r w:rsidRPr="0072258E">
        <w:rPr>
          <w:noProof/>
          <w:szCs w:val="18"/>
          <w:lang w:eastAsia="ro-RO"/>
        </w:rPr>
        <w:drawing>
          <wp:anchor distT="0" distB="0" distL="114300" distR="114300" simplePos="0" relativeHeight="252130304" behindDoc="0" locked="0" layoutInCell="1" allowOverlap="1" wp14:anchorId="1CF69DAB" wp14:editId="508C3AC5">
            <wp:simplePos x="0" y="0"/>
            <wp:positionH relativeFrom="column">
              <wp:posOffset>2540</wp:posOffset>
            </wp:positionH>
            <wp:positionV relativeFrom="paragraph">
              <wp:posOffset>75565</wp:posOffset>
            </wp:positionV>
            <wp:extent cx="2524125" cy="1688693"/>
            <wp:effectExtent l="0" t="0" r="0" b="6985"/>
            <wp:wrapSquare wrapText="bothSides"/>
            <wp:docPr id="33" name="Picture 33" descr="ApaPot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aPotabil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24125" cy="1688693"/>
                    </a:xfrm>
                    <a:prstGeom prst="rect">
                      <a:avLst/>
                    </a:prstGeom>
                    <a:noFill/>
                    <a:ln>
                      <a:noFill/>
                    </a:ln>
                  </pic:spPr>
                </pic:pic>
              </a:graphicData>
            </a:graphic>
          </wp:anchor>
        </w:drawing>
      </w:r>
      <w:r w:rsidRPr="0072258E">
        <w:rPr>
          <w:color w:val="404040"/>
          <w:szCs w:val="18"/>
        </w:rPr>
        <w:t>În total, 170.392 de locuitori vor beneficia de modernizările rețelei de apă și apă uzată.</w:t>
      </w:r>
    </w:p>
    <w:p w14:paraId="248F7AF6"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Comisarul pentru coeziune și reforme, Elisa </w:t>
      </w:r>
      <w:r w:rsidRPr="0072258E">
        <w:rPr>
          <w:rStyle w:val="Strong"/>
          <w:color w:val="404040"/>
        </w:rPr>
        <w:t>Ferreira</w:t>
      </w:r>
      <w:r w:rsidRPr="0072258E">
        <w:rPr>
          <w:rFonts w:ascii="Verdana" w:hAnsi="Verdana"/>
          <w:color w:val="404040"/>
          <w:sz w:val="18"/>
          <w:szCs w:val="18"/>
        </w:rPr>
        <w:t>, a declarat: „</w:t>
      </w:r>
      <w:r w:rsidRPr="0072258E">
        <w:rPr>
          <w:rStyle w:val="Emphasis"/>
          <w:color w:val="404040"/>
        </w:rPr>
        <w:t>Acest proiect este un exemplu bun al modului în care, prin investiții în infrastructură, politica de coeziune abordează în mod concret provocări locale. Grație proiectului se va economisi apă, populația va avea acces la apă curată și, de asemenea, se vor crea noi locuri de muncă în etapa de punere în aplicare.”</w:t>
      </w:r>
    </w:p>
    <w:p w14:paraId="2F6CF8E0"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Proiectul va moderniza 13 sisteme de alimentare cu apă, va crea 57 de puncte de extracție din sursele de apă, va pune la dispoziție 16 km de colectoare a apelor uzate și 430 km de conducte de canalizare.Modernizarea sistemului va consolida conformitatea rețelei locale de apă cu directivele UE privind apa potabilă, respectiv apele reziduale urbane.</w:t>
      </w:r>
    </w:p>
    <w:p w14:paraId="0294641F" w14:textId="0C185AF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lastRenderedPageBreak/>
        <w:t>Acest lucru previne pierderile mari de apă, debitul insuficient și calitatea necorespunzătoare a apei din surse locale.Pentru mai multe informații privind investițiile finanțate de UE în România, vizitați </w:t>
      </w:r>
      <w:hyperlink r:id="rId41" w:history="1">
        <w:r w:rsidRPr="0072258E">
          <w:rPr>
            <w:rStyle w:val="Hyperlink"/>
            <w:rFonts w:cs="Arial"/>
            <w:color w:val="004494"/>
          </w:rPr>
          <w:t>Platforma de date deschise</w:t>
        </w:r>
      </w:hyperlink>
      <w:hyperlink r:id="rId42" w:history="1"/>
      <w:r w:rsidRPr="0072258E">
        <w:rPr>
          <w:rFonts w:ascii="Verdana" w:hAnsi="Verdana"/>
          <w:color w:val="404040"/>
          <w:sz w:val="18"/>
          <w:szCs w:val="18"/>
        </w:rPr>
        <w:t>.</w:t>
      </w:r>
    </w:p>
    <w:p w14:paraId="318ACCB3" w14:textId="51C24F35" w:rsidR="0072258E" w:rsidRPr="0072258E" w:rsidRDefault="0072258E" w:rsidP="0072258E">
      <w:pPr>
        <w:pStyle w:val="separatorarticole"/>
      </w:pPr>
      <w:r>
        <w:t>*</w:t>
      </w:r>
    </w:p>
    <w:p w14:paraId="256390F5" w14:textId="77777777" w:rsidR="0072258E" w:rsidRPr="0072258E" w:rsidRDefault="0072258E" w:rsidP="00F015C0">
      <w:pPr>
        <w:pStyle w:val="TitluArticolinINFOUE"/>
        <w:rPr>
          <w:lang w:eastAsia="ro-RO"/>
        </w:rPr>
      </w:pPr>
      <w:bookmarkStart w:id="171" w:name="_Toc106112271"/>
      <w:r w:rsidRPr="0072258E">
        <w:t>Primul festival al noului Bauhaus european începe astăzi la Bruxelles și în toată Europa</w:t>
      </w:r>
      <w:bookmarkEnd w:id="171"/>
    </w:p>
    <w:p w14:paraId="77BCCBEF" w14:textId="77777777" w:rsidR="0072258E" w:rsidRPr="0072258E" w:rsidRDefault="0072258E" w:rsidP="0072258E">
      <w:pPr>
        <w:pStyle w:val="ecl-page-header-standardiseddescription"/>
        <w:shd w:val="clear" w:color="auto" w:fill="FFFFFF"/>
        <w:spacing w:before="120" w:beforeAutospacing="0" w:after="0" w:afterAutospacing="0"/>
        <w:rPr>
          <w:rFonts w:ascii="Verdana" w:hAnsi="Verdana" w:cs="Arial"/>
          <w:color w:val="404040"/>
          <w:sz w:val="18"/>
          <w:szCs w:val="18"/>
        </w:rPr>
      </w:pPr>
      <w:r w:rsidRPr="0072258E">
        <w:rPr>
          <w:rFonts w:ascii="Verdana" w:hAnsi="Verdana" w:cs="Arial"/>
          <w:color w:val="404040"/>
          <w:sz w:val="18"/>
          <w:szCs w:val="18"/>
        </w:rPr>
        <w:t>Cu începere astăzi, 9 iunie, și pentru prima dată, Comisia organizează un </w:t>
      </w:r>
      <w:r w:rsidRPr="0072258E">
        <w:rPr>
          <w:rStyle w:val="Strong"/>
          <w:rFonts w:cs="Arial"/>
          <w:color w:val="404040"/>
        </w:rPr>
        <w:t>festival</w:t>
      </w:r>
      <w:r w:rsidRPr="0072258E">
        <w:rPr>
          <w:rFonts w:ascii="Verdana" w:hAnsi="Verdana" w:cs="Arial"/>
          <w:color w:val="404040"/>
          <w:sz w:val="18"/>
          <w:szCs w:val="18"/>
        </w:rPr>
        <w:t> dedicat </w:t>
      </w:r>
      <w:hyperlink r:id="rId43" w:history="1">
        <w:r w:rsidRPr="0072258E">
          <w:rPr>
            <w:rStyle w:val="Hyperlink"/>
            <w:rFonts w:cs="Arial"/>
            <w:color w:val="004494"/>
          </w:rPr>
          <w:t>noului Bauhaus european</w:t>
        </w:r>
      </w:hyperlink>
      <w:r w:rsidRPr="0072258E">
        <w:rPr>
          <w:rFonts w:ascii="Verdana" w:hAnsi="Verdana" w:cs="Arial"/>
          <w:color w:val="404040"/>
          <w:sz w:val="18"/>
          <w:szCs w:val="18"/>
        </w:rPr>
        <w:t>.</w:t>
      </w:r>
    </w:p>
    <w:p w14:paraId="158B270D" w14:textId="41FDA546" w:rsidR="0072258E" w:rsidRPr="0072258E" w:rsidRDefault="0072258E" w:rsidP="00F015C0">
      <w:pPr>
        <w:rPr>
          <w:color w:val="404040"/>
          <w:szCs w:val="18"/>
        </w:rPr>
      </w:pPr>
      <w:r w:rsidRPr="0072258E">
        <w:rPr>
          <w:noProof/>
          <w:szCs w:val="18"/>
          <w:lang w:eastAsia="ro-RO"/>
        </w:rPr>
        <w:drawing>
          <wp:anchor distT="0" distB="0" distL="114300" distR="114300" simplePos="0" relativeHeight="252131328" behindDoc="0" locked="0" layoutInCell="1" allowOverlap="1" wp14:anchorId="44BA3D3E" wp14:editId="44AD28A9">
            <wp:simplePos x="0" y="0"/>
            <wp:positionH relativeFrom="column">
              <wp:posOffset>2540</wp:posOffset>
            </wp:positionH>
            <wp:positionV relativeFrom="paragraph">
              <wp:posOffset>79375</wp:posOffset>
            </wp:positionV>
            <wp:extent cx="2788285" cy="928490"/>
            <wp:effectExtent l="0" t="0" r="0" b="5080"/>
            <wp:wrapSquare wrapText="bothSides"/>
            <wp:docPr id="32" name="Picture 32" descr="Banner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nerNEB"/>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88285" cy="928490"/>
                    </a:xfrm>
                    <a:prstGeom prst="rect">
                      <a:avLst/>
                    </a:prstGeom>
                    <a:noFill/>
                    <a:ln>
                      <a:noFill/>
                    </a:ln>
                  </pic:spPr>
                </pic:pic>
              </a:graphicData>
            </a:graphic>
          </wp:anchor>
        </w:drawing>
      </w:r>
      <w:r w:rsidRPr="0072258E">
        <w:rPr>
          <w:color w:val="404040"/>
          <w:szCs w:val="18"/>
        </w:rPr>
        <w:t>Conceput în jurul a trei piloni, </w:t>
      </w:r>
      <w:r w:rsidRPr="0072258E">
        <w:rPr>
          <w:rStyle w:val="Strong"/>
          <w:color w:val="404040"/>
        </w:rPr>
        <w:t>Forum, Fair</w:t>
      </w:r>
      <w:r w:rsidRPr="0072258E">
        <w:rPr>
          <w:color w:val="404040"/>
          <w:szCs w:val="18"/>
        </w:rPr>
        <w:t> și </w:t>
      </w:r>
      <w:r w:rsidRPr="0072258E">
        <w:rPr>
          <w:rStyle w:val="Strong"/>
          <w:color w:val="404040"/>
        </w:rPr>
        <w:t>Fest</w:t>
      </w:r>
      <w:r w:rsidRPr="0072258E">
        <w:rPr>
          <w:color w:val="404040"/>
          <w:szCs w:val="18"/>
        </w:rPr>
        <w:t> (forum, târg și celebrare), și prezent fizic la Bruxelles, la Gare Maritime și Mont des Arts, dar și în mediul online, </w:t>
      </w:r>
      <w:hyperlink r:id="rId45" w:history="1">
        <w:r w:rsidRPr="0072258E">
          <w:rPr>
            <w:rStyle w:val="Hyperlink"/>
            <w:rFonts w:cs="Arial"/>
            <w:color w:val="004494"/>
          </w:rPr>
          <w:t>Festivalul noului Bauhaus european</w:t>
        </w:r>
      </w:hyperlink>
      <w:r w:rsidRPr="0072258E">
        <w:rPr>
          <w:color w:val="404040"/>
          <w:szCs w:val="18"/>
        </w:rPr>
        <w:t> a fost creat împreună cu comunitatea noului Bauhaus european pentru a prezenta, a celebra și a dezvolta mișcarea.</w:t>
      </w:r>
    </w:p>
    <w:p w14:paraId="1665D71F"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Pe lângă programul bogat de la Bruxelles, festivalul cuprinde peste 200 de evenimente conexe create în comun, răspândite pe tot cuprinsul Europei, organizate în mod independent de parteneri. Președinta Ursula </w:t>
      </w:r>
      <w:r w:rsidRPr="0072258E">
        <w:rPr>
          <w:rStyle w:val="Strong"/>
          <w:color w:val="404040"/>
        </w:rPr>
        <w:t>von der Leyen </w:t>
      </w:r>
      <w:r w:rsidRPr="0072258E">
        <w:rPr>
          <w:rFonts w:ascii="Verdana" w:hAnsi="Verdana"/>
          <w:color w:val="404040"/>
          <w:sz w:val="18"/>
          <w:szCs w:val="18"/>
        </w:rPr>
        <w:t>deschide astăzi oficial festivalul la Roma, la ora 13:00 CET la MAXXI (Muzeul național al artelor secolului XXI), printr-o transmisiune în direct împreună cu Bruxelles-ul.</w:t>
      </w:r>
    </w:p>
    <w:p w14:paraId="5BFA78FB"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Forum, Fair și Fest la Bruxelles</w:t>
      </w:r>
    </w:p>
    <w:p w14:paraId="33002248"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Forum</w:t>
      </w:r>
      <w:r w:rsidRPr="0072258E">
        <w:rPr>
          <w:rFonts w:ascii="Verdana" w:hAnsi="Verdana"/>
          <w:color w:val="404040"/>
          <w:sz w:val="18"/>
          <w:szCs w:val="18"/>
        </w:rPr>
        <w:t> este o conferință care se desfășoară pe durata a trei zile de evenimente cu format participativ, incluzând de la mese rotunde până la discursuri de tip TED. Președinta Ursula </w:t>
      </w:r>
      <w:r w:rsidRPr="0072258E">
        <w:rPr>
          <w:rStyle w:val="Strong"/>
          <w:color w:val="404040"/>
        </w:rPr>
        <w:t>von der Leyen</w:t>
      </w:r>
      <w:r w:rsidRPr="0072258E">
        <w:rPr>
          <w:rFonts w:ascii="Verdana" w:hAnsi="Verdana"/>
          <w:color w:val="404040"/>
          <w:sz w:val="18"/>
          <w:szCs w:val="18"/>
        </w:rPr>
        <w:t>, comisarii Johannes </w:t>
      </w:r>
      <w:r w:rsidRPr="0072258E">
        <w:rPr>
          <w:rStyle w:val="Strong"/>
          <w:color w:val="404040"/>
        </w:rPr>
        <w:t>Hahn</w:t>
      </w:r>
      <w:r w:rsidRPr="0072258E">
        <w:rPr>
          <w:rFonts w:ascii="Verdana" w:hAnsi="Verdana"/>
          <w:color w:val="404040"/>
          <w:sz w:val="18"/>
          <w:szCs w:val="18"/>
        </w:rPr>
        <w:t>, Mariya </w:t>
      </w:r>
      <w:r w:rsidRPr="0072258E">
        <w:rPr>
          <w:rStyle w:val="Strong"/>
          <w:color w:val="404040"/>
        </w:rPr>
        <w:t>Gabriel</w:t>
      </w:r>
      <w:r w:rsidRPr="0072258E">
        <w:rPr>
          <w:rFonts w:ascii="Verdana" w:hAnsi="Verdana"/>
          <w:color w:val="404040"/>
          <w:sz w:val="18"/>
          <w:szCs w:val="18"/>
        </w:rPr>
        <w:t>, Elisa </w:t>
      </w:r>
      <w:r w:rsidRPr="0072258E">
        <w:rPr>
          <w:rStyle w:val="Strong"/>
          <w:color w:val="404040"/>
        </w:rPr>
        <w:t>Ferreira</w:t>
      </w:r>
      <w:r w:rsidRPr="0072258E">
        <w:rPr>
          <w:rFonts w:ascii="Verdana" w:hAnsi="Verdana"/>
          <w:color w:val="404040"/>
          <w:sz w:val="18"/>
          <w:szCs w:val="18"/>
        </w:rPr>
        <w:t> și Kadri </w:t>
      </w:r>
      <w:r w:rsidRPr="0072258E">
        <w:rPr>
          <w:rStyle w:val="Strong"/>
          <w:color w:val="404040"/>
        </w:rPr>
        <w:t>Simson</w:t>
      </w:r>
      <w:r w:rsidRPr="0072258E">
        <w:rPr>
          <w:rFonts w:ascii="Verdana" w:hAnsi="Verdana"/>
          <w:color w:val="404040"/>
          <w:sz w:val="18"/>
          <w:szCs w:val="18"/>
        </w:rPr>
        <w:t> vor încadra discuțiile din perspectivă europeană. Vorbitorii sunt personalități de renume mondial și vor include arhitecți importanți, cum ar fi Francis Kéré, Shigeru Ban, Rem Koolhaas și Stefano Boeri, personalități din lumea artelor precum Gerfried Stocker (Ars Electronica), artistul sonor Emeka Ogboh, președinta fundației MAXXI Giovanna Melandri, scriitoarea și activista Hilda Nakabuye și oameni de știință precum Hans Joachim Schellnhuber, Stefano Mancuso și Carlos Moreno (orașul de 15 minute). Vor participa mai mulți politicieni importanți de la nivel național, cum ar fi Elke van den Brandt (ministrul mobilității din regiunea Bruxelles-Capitală), precum și primarul orașului Bruxelles, Philippe Close, și primarul orașului Praga, Zdeněk Hřib.</w:t>
      </w:r>
    </w:p>
    <w:p w14:paraId="272FE99E"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Pe durata Forumului, la 11 iunie, prestigioasele premii „Noul Bauhaus european” vor fi acordate în cele patru categorii ale noului Bauhaus european: </w:t>
      </w:r>
      <w:r w:rsidRPr="0072258E">
        <w:rPr>
          <w:rStyle w:val="Emphasis"/>
          <w:color w:val="404040"/>
        </w:rPr>
        <w:t>reconectarea cu natura; recâștigarea unui sentiment de apartenență; prioritizarea locurilor și a persoanelor care au cea mai mare nevoie </w:t>
      </w:r>
      <w:r w:rsidRPr="0072258E">
        <w:rPr>
          <w:rFonts w:ascii="Verdana" w:hAnsi="Verdana"/>
          <w:color w:val="404040"/>
          <w:sz w:val="18"/>
          <w:szCs w:val="18"/>
        </w:rPr>
        <w:t>și </w:t>
      </w:r>
      <w:r w:rsidRPr="0072258E">
        <w:rPr>
          <w:rStyle w:val="Emphasis"/>
          <w:color w:val="404040"/>
        </w:rPr>
        <w:t>conturarea unui ecosistem industrial circular și sprijinirea gândirii care ține seama de ciclul de viață</w:t>
      </w:r>
      <w:r w:rsidRPr="0072258E">
        <w:rPr>
          <w:rFonts w:ascii="Verdana" w:hAnsi="Verdana"/>
          <w:color w:val="404040"/>
          <w:sz w:val="18"/>
          <w:szCs w:val="18"/>
        </w:rPr>
        <w:t>. Finaliștii vor participa la ceremonie.</w:t>
      </w:r>
    </w:p>
    <w:p w14:paraId="7422147B"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Partea din festival denumită </w:t>
      </w:r>
      <w:r w:rsidRPr="0072258E">
        <w:rPr>
          <w:rStyle w:val="Strong"/>
          <w:color w:val="404040"/>
        </w:rPr>
        <w:t>Fair</w:t>
      </w:r>
      <w:r w:rsidRPr="0072258E">
        <w:rPr>
          <w:rFonts w:ascii="Verdana" w:hAnsi="Verdana"/>
          <w:color w:val="404040"/>
          <w:sz w:val="18"/>
          <w:szCs w:val="18"/>
        </w:rPr>
        <w:t> pune sub lumina reflectoarelor proiecte legate de noul Bauhaus european, incluzând, de exemplu, laboratoare locale ale cetățenilor destinate să desfășoare activități de pionierat în domeniul cercetării, cu finanțare din programe UE precum Orizont Europa, prototipuri care vor îmbunătăți sustenabilitatea, incluziunea și calitatea experiențelor noastre zilnice. Fair este creat în comun: din cele 316 cereri primite, 100 de proiecte au fost selectate spre a fi expuse în cadrul noului Bauhaus european pe suporturi fixe și mobile (de la bicicletele electrice la tricicluri electrice), răspândite în centrul orașului Bruxelles.</w:t>
      </w:r>
    </w:p>
    <w:p w14:paraId="5A78BAD4"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În fine, </w:t>
      </w:r>
      <w:r w:rsidRPr="0072258E">
        <w:rPr>
          <w:rStyle w:val="Strong"/>
          <w:color w:val="404040"/>
        </w:rPr>
        <w:t>Fest</w:t>
      </w:r>
      <w:r w:rsidRPr="0072258E">
        <w:rPr>
          <w:rFonts w:ascii="Verdana" w:hAnsi="Verdana"/>
          <w:color w:val="404040"/>
          <w:sz w:val="18"/>
          <w:szCs w:val="18"/>
        </w:rPr>
        <w:t> este o celebrare a noului Bauhaus european pentru toată lumea. Programul, care va lua în stăpânire Mont des Arts din centrul Bruxelles-ului de astăzi până duminică, va atrage categorii diverse de public prin dans, instalații, teatru și spectacole de muzică - cum ar fi cele susținute de Patsyki Z Franeka, o formație muzicală ucraineană de succes și de Дeva, câștigătoarea ediției din 2022 a concursului „Muzica mișcă Europa” –, precum și prin experimente științifice, ateliere de reciclare în amonte și multe altele. Artiștii și actorii culturali vor participa, de asemenea, la forum.</w:t>
      </w:r>
    </w:p>
    <w:p w14:paraId="64A43280"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Peste 200 de evenimente conexe în întreaga Europă</w:t>
      </w:r>
    </w:p>
    <w:p w14:paraId="0A325064"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 xml:space="preserve">Printre evenimentele conexe organizate de comunitatea noului Bauhaus european în 25 de țări se numără discuții despre resursele regenerabile, tehnologiile inovatoare, agricultura urbană, evoluția clădirilor și mobilitatea favorabilă climei, precum și concerte, laboratoare de idei și expoziții, prezentate </w:t>
      </w:r>
      <w:r w:rsidRPr="0072258E">
        <w:rPr>
          <w:rFonts w:ascii="Verdana" w:hAnsi="Verdana"/>
          <w:color w:val="404040"/>
          <w:sz w:val="18"/>
          <w:szCs w:val="18"/>
        </w:rPr>
        <w:lastRenderedPageBreak/>
        <w:t>pe site-ul festivalului. În timpul ceremoniei de deschidere, vor exista transmisiuni în direct cu zece dintre aceste evenimente conexe.</w:t>
      </w:r>
    </w:p>
    <w:p w14:paraId="4742B16B"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Declarații ale membrilor colegiului:</w:t>
      </w:r>
    </w:p>
    <w:p w14:paraId="649D2C56"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Președinta Comisiei, Ursula </w:t>
      </w:r>
      <w:r w:rsidRPr="0072258E">
        <w:rPr>
          <w:rStyle w:val="Strong"/>
          <w:color w:val="404040"/>
        </w:rPr>
        <w:t>von der Leyen</w:t>
      </w:r>
      <w:r w:rsidRPr="0072258E">
        <w:rPr>
          <w:rFonts w:ascii="Verdana" w:hAnsi="Verdana"/>
          <w:color w:val="404040"/>
          <w:sz w:val="18"/>
          <w:szCs w:val="18"/>
        </w:rPr>
        <w:t>, a declarat: </w:t>
      </w:r>
      <w:r w:rsidRPr="0072258E">
        <w:rPr>
          <w:rStyle w:val="Emphasis"/>
          <w:color w:val="404040"/>
        </w:rPr>
        <w:t>„Noul Bauhaus european face posibile schimbări concrete pe teren, pentru a ne realiza obiectivele în materie de climă și a îmbunătăți calitatea vieții în orașele, satele și regiunile în care trăim. Festivalul este o ocazie excelentă de aprofundare a discuțiilor și de întâlnire cu cei care construiesc un viitor frumos, sustenabil, favorabil incluziunii.”</w:t>
      </w:r>
    </w:p>
    <w:p w14:paraId="7CBAD09B"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Mariya </w:t>
      </w:r>
      <w:r w:rsidRPr="0072258E">
        <w:rPr>
          <w:rStyle w:val="Strong"/>
          <w:color w:val="404040"/>
        </w:rPr>
        <w:t>Gabriel</w:t>
      </w:r>
      <w:r w:rsidRPr="0072258E">
        <w:rPr>
          <w:rFonts w:ascii="Verdana" w:hAnsi="Verdana"/>
          <w:color w:val="404040"/>
          <w:sz w:val="18"/>
          <w:szCs w:val="18"/>
        </w:rPr>
        <w:t>, comisarul pentru inovare, cercetare, cultură, educație și tineret, a spus: </w:t>
      </w:r>
      <w:r w:rsidRPr="0072258E">
        <w:rPr>
          <w:rStyle w:val="Emphasis"/>
          <w:color w:val="404040"/>
        </w:rPr>
        <w:t>„Creând punți între știință și inovare, pe de o parte, și artă și cultură de cealaltă parte, Festivalul noului Bauhaus european reprezintă o ocazie excelentă de a crea rețele, de a partaja proiecte și idei inovatoare și de a face din Pactul verde european o prioritate. Festivalul va reuni oameni din toate categoriile sociale care să discute și să construiască un viitor deopotrivă sustenabil, favorabil incluziunii și atractiv.”</w:t>
      </w:r>
    </w:p>
    <w:p w14:paraId="25E1C3B2"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Comisarul pentru coeziune și reforme, Elisa </w:t>
      </w:r>
      <w:r w:rsidRPr="0072258E">
        <w:rPr>
          <w:rStyle w:val="Strong"/>
          <w:color w:val="404040"/>
        </w:rPr>
        <w:t>Ferreira</w:t>
      </w:r>
      <w:r w:rsidRPr="0072258E">
        <w:rPr>
          <w:rFonts w:ascii="Verdana" w:hAnsi="Verdana"/>
          <w:color w:val="404040"/>
          <w:sz w:val="18"/>
          <w:szCs w:val="18"/>
        </w:rPr>
        <w:t>: </w:t>
      </w:r>
      <w:r w:rsidRPr="0072258E">
        <w:rPr>
          <w:rStyle w:val="Emphasis"/>
          <w:color w:val="404040"/>
        </w:rPr>
        <w:t>„Avem nevoie de incluziune în efortul nostru de a obține locuri durabile și atractive – noul Bauhaus european are ambiția de a ajunge la toate teritoriile. El aduce o energie pozitivă eforturilor noastre colective pentru un viitor mai bun!”</w:t>
      </w:r>
    </w:p>
    <w:p w14:paraId="611D4107"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Context</w:t>
      </w:r>
    </w:p>
    <w:p w14:paraId="3A54A0AE"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Noul Bauhaus european a fost lansat de președinta </w:t>
      </w:r>
      <w:r w:rsidRPr="0072258E">
        <w:rPr>
          <w:rStyle w:val="Strong"/>
          <w:color w:val="404040"/>
        </w:rPr>
        <w:t>von der Leyen</w:t>
      </w:r>
      <w:r w:rsidRPr="0072258E">
        <w:rPr>
          <w:rFonts w:ascii="Verdana" w:hAnsi="Verdana"/>
          <w:color w:val="404040"/>
          <w:sz w:val="18"/>
          <w:szCs w:val="18"/>
        </w:rPr>
        <w:t> în septembrie 2021. El adaugă o dimensiune culturală Pactului verde și accelerează tranziția verde prin schimbări concrete pe teren.</w:t>
      </w:r>
    </w:p>
    <w:p w14:paraId="5BA505B5" w14:textId="1D665CB2"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Festivalul plasează </w:t>
      </w:r>
      <w:hyperlink r:id="rId46" w:history="1">
        <w:r w:rsidRPr="0072258E">
          <w:rPr>
            <w:rStyle w:val="Hyperlink"/>
            <w:rFonts w:cs="Arial"/>
            <w:color w:val="004494"/>
          </w:rPr>
          <w:t>Pactul verde european </w:t>
        </w:r>
      </w:hyperlink>
      <w:hyperlink r:id="rId47" w:history="1"/>
      <w:r w:rsidRPr="0072258E">
        <w:rPr>
          <w:rFonts w:ascii="Verdana" w:hAnsi="Verdana"/>
          <w:color w:val="404040"/>
          <w:sz w:val="18"/>
          <w:szCs w:val="18"/>
        </w:rPr>
        <w:t>în centrul vieții noastre cotidiene. Noul Bauhaus european este, prin natura sa, transdisciplinar: invită arhitecți, designeri, artiști, ingineri, meșteșugari și cetățeni să își împărtășească experiența legată de pregătirea viitorului.</w:t>
      </w:r>
    </w:p>
    <w:p w14:paraId="64D8CA11"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Pentru informații suplimentare</w:t>
      </w:r>
    </w:p>
    <w:p w14:paraId="6BCCDBCB" w14:textId="25BCE294" w:rsidR="0072258E" w:rsidRPr="0072258E" w:rsidRDefault="0072258E" w:rsidP="0072258E">
      <w:pPr>
        <w:pStyle w:val="NormalWeb"/>
        <w:spacing w:before="120" w:beforeAutospacing="0" w:after="0" w:afterAutospacing="0"/>
        <w:rPr>
          <w:rFonts w:ascii="Verdana" w:hAnsi="Verdana"/>
          <w:color w:val="404040"/>
          <w:sz w:val="18"/>
          <w:szCs w:val="18"/>
        </w:rPr>
      </w:pPr>
      <w:hyperlink r:id="rId48" w:history="1">
        <w:r w:rsidRPr="0072258E">
          <w:rPr>
            <w:rStyle w:val="Hyperlink"/>
            <w:rFonts w:cs="Arial"/>
            <w:color w:val="004494"/>
          </w:rPr>
          <w:t>Festivalul noului Bauhaus European</w:t>
        </w:r>
      </w:hyperlink>
      <w:hyperlink r:id="rId49" w:history="1"/>
    </w:p>
    <w:p w14:paraId="2D18F0FC" w14:textId="5A4D0282" w:rsidR="0072258E" w:rsidRPr="0072258E" w:rsidRDefault="0072258E" w:rsidP="0072258E">
      <w:pPr>
        <w:pStyle w:val="NormalWeb"/>
        <w:spacing w:before="120" w:beforeAutospacing="0" w:after="0" w:afterAutospacing="0"/>
        <w:rPr>
          <w:rFonts w:ascii="Verdana" w:hAnsi="Verdana"/>
          <w:color w:val="404040"/>
          <w:sz w:val="18"/>
          <w:szCs w:val="18"/>
        </w:rPr>
      </w:pPr>
      <w:hyperlink r:id="rId50" w:history="1">
        <w:r w:rsidRPr="0072258E">
          <w:rPr>
            <w:rStyle w:val="Hyperlink"/>
            <w:rFonts w:cs="Arial"/>
            <w:color w:val="004494"/>
          </w:rPr>
          <w:t>Pagina noului Bauhaus european</w:t>
        </w:r>
      </w:hyperlink>
      <w:hyperlink r:id="rId51" w:history="1"/>
    </w:p>
    <w:p w14:paraId="30E1BF4D" w14:textId="57661EA6" w:rsidR="0072258E" w:rsidRPr="0072258E" w:rsidRDefault="0072258E" w:rsidP="0072258E">
      <w:pPr>
        <w:pStyle w:val="NormalWeb"/>
        <w:spacing w:before="120" w:beforeAutospacing="0" w:after="0" w:afterAutospacing="0"/>
        <w:rPr>
          <w:rFonts w:ascii="Verdana" w:hAnsi="Verdana"/>
          <w:color w:val="404040"/>
          <w:sz w:val="18"/>
          <w:szCs w:val="18"/>
        </w:rPr>
      </w:pPr>
      <w:hyperlink r:id="rId52" w:history="1">
        <w:r w:rsidRPr="0072258E">
          <w:rPr>
            <w:rStyle w:val="Hyperlink"/>
            <w:rFonts w:cs="Arial"/>
            <w:color w:val="004494"/>
          </w:rPr>
          <w:t>Premiile „Noul Bauhaus European” 2022</w:t>
        </w:r>
      </w:hyperlink>
      <w:hyperlink r:id="rId53" w:history="1"/>
    </w:p>
    <w:p w14:paraId="5F74B8F3"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În atenția reprezentanților mass-media: vă rugăm să luați legătura cu contactele de presă de mai jos pentru a vă înregistra pentru participarea fizică (un număr mic de locuri sunt încă disponibile).</w:t>
      </w:r>
    </w:p>
    <w:p w14:paraId="246C2742" w14:textId="77D495FC" w:rsidR="0072258E" w:rsidRPr="0072258E" w:rsidRDefault="0072258E" w:rsidP="00F015C0">
      <w:pPr>
        <w:pStyle w:val="separatorarticole"/>
      </w:pPr>
      <w:r w:rsidRPr="0072258E">
        <w:t>*</w:t>
      </w:r>
    </w:p>
    <w:p w14:paraId="2CCE0DA9" w14:textId="77777777" w:rsidR="0072258E" w:rsidRPr="0072258E" w:rsidRDefault="0072258E" w:rsidP="00765A2F">
      <w:pPr>
        <w:pStyle w:val="TitluArticolinINFOUE"/>
        <w:rPr>
          <w:lang w:eastAsia="ro-RO"/>
        </w:rPr>
      </w:pPr>
      <w:bookmarkStart w:id="172" w:name="_Toc106112272"/>
      <w:r w:rsidRPr="0072258E">
        <w:t>Întărirea sănătății mintale și a sprijinului psihosocial pentru persoanele strămutate provenind din Ucraina</w:t>
      </w:r>
      <w:bookmarkEnd w:id="172"/>
    </w:p>
    <w:p w14:paraId="77EED7FE" w14:textId="77777777" w:rsidR="0072258E" w:rsidRPr="0072258E" w:rsidRDefault="0072258E" w:rsidP="0072258E">
      <w:pPr>
        <w:pStyle w:val="ecl-page-header-standardiseddescription"/>
        <w:shd w:val="clear" w:color="auto" w:fill="FFFFFF"/>
        <w:spacing w:before="120" w:beforeAutospacing="0" w:after="0" w:afterAutospacing="0"/>
        <w:rPr>
          <w:rFonts w:ascii="Verdana" w:hAnsi="Verdana" w:cs="Arial"/>
          <w:color w:val="404040"/>
          <w:sz w:val="18"/>
          <w:szCs w:val="18"/>
        </w:rPr>
      </w:pPr>
      <w:r w:rsidRPr="0072258E">
        <w:rPr>
          <w:rFonts w:ascii="Verdana" w:hAnsi="Verdana" w:cs="Arial"/>
          <w:color w:val="404040"/>
          <w:sz w:val="18"/>
          <w:szCs w:val="18"/>
        </w:rPr>
        <w:t>CE a semnat un acord de contribuție în valoare de 7 milioane EUR cu Federația Internațională a Societăților de Cruce Roșie și Semilună Roșie, menit să le ofere sprijin psihosocial și pentru sănătate mintală persoanelor care fug din Ucraina.</w:t>
      </w:r>
    </w:p>
    <w:p w14:paraId="7AE306C1" w14:textId="0F4FE4B1" w:rsidR="0072258E" w:rsidRPr="0072258E" w:rsidRDefault="0072258E" w:rsidP="00765A2F">
      <w:pPr>
        <w:rPr>
          <w:color w:val="404040"/>
          <w:szCs w:val="18"/>
        </w:rPr>
      </w:pPr>
      <w:r w:rsidRPr="0072258E">
        <w:rPr>
          <w:noProof/>
          <w:szCs w:val="18"/>
          <w:lang w:eastAsia="ro-RO"/>
        </w:rPr>
        <w:drawing>
          <wp:anchor distT="0" distB="0" distL="114300" distR="114300" simplePos="0" relativeHeight="252132352" behindDoc="0" locked="0" layoutInCell="1" allowOverlap="1" wp14:anchorId="00B981D3" wp14:editId="73F78198">
            <wp:simplePos x="0" y="0"/>
            <wp:positionH relativeFrom="column">
              <wp:posOffset>2540</wp:posOffset>
            </wp:positionH>
            <wp:positionV relativeFrom="paragraph">
              <wp:posOffset>74295</wp:posOffset>
            </wp:positionV>
            <wp:extent cx="2009775" cy="1344295"/>
            <wp:effectExtent l="0" t="0" r="9525" b="8255"/>
            <wp:wrapSquare wrapText="bothSides"/>
            <wp:docPr id="29" name="Picture 29" descr="SanatateMi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atateMintala"/>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009775"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58E">
        <w:rPr>
          <w:color w:val="404040"/>
          <w:szCs w:val="18"/>
        </w:rPr>
        <w:t>Acordul urmărește să sprijine refugiații cu probleme de sănătate mintală și traumatisme psihologice grave, prin acordarea de prim ajutor și evaluare psihologice, precum și prin acordarea de sprijin psihosocial și de sănătate mintală pe termen mai lung, în propria lor limbă. </w:t>
      </w:r>
    </w:p>
    <w:p w14:paraId="7287143E" w14:textId="03B2B5F4"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Contractul, finanțat prin </w:t>
      </w:r>
      <w:hyperlink r:id="rId55" w:history="1">
        <w:r w:rsidRPr="0072258E">
          <w:rPr>
            <w:rStyle w:val="Hyperlink"/>
            <w:rFonts w:cs="Arial"/>
            <w:color w:val="004494"/>
          </w:rPr>
          <w:t>programul EU4Health</w:t>
        </w:r>
      </w:hyperlink>
      <w:hyperlink r:id="rId56" w:history="1"/>
      <w:r w:rsidRPr="0072258E">
        <w:rPr>
          <w:rFonts w:ascii="Verdana" w:hAnsi="Verdana"/>
          <w:color w:val="404040"/>
          <w:sz w:val="18"/>
          <w:szCs w:val="18"/>
        </w:rPr>
        <w:t>, acoperă acțiuni de consolidare a capacităților personalului și voluntarilor Crucii Roșii, ale personalului de intervenție de urgență și ale altor profesioniști din cinci țări ale UE (Polonia, Slovacia, Ungaria, România, Republica Cehă) și se va derula timp de 24 de luni.</w:t>
      </w:r>
    </w:p>
    <w:p w14:paraId="432091B9"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Stella</w:t>
      </w:r>
      <w:r w:rsidRPr="0072258E">
        <w:rPr>
          <w:rStyle w:val="Strong"/>
          <w:color w:val="404040"/>
        </w:rPr>
        <w:t> Kyriakides</w:t>
      </w:r>
      <w:r w:rsidRPr="0072258E">
        <w:rPr>
          <w:rFonts w:ascii="Verdana" w:hAnsi="Verdana"/>
          <w:color w:val="404040"/>
          <w:sz w:val="18"/>
          <w:szCs w:val="18"/>
        </w:rPr>
        <w:t>, comisarul european pentru sănătate și siguranță alimentară, a declarat: </w:t>
      </w:r>
      <w:r w:rsidRPr="0072258E">
        <w:rPr>
          <w:rStyle w:val="Emphasis"/>
          <w:color w:val="404040"/>
        </w:rPr>
        <w:t xml:space="preserve">„De peste trei luni, milioane de oameni nevinovați din Ucraina au fost obligați să își părăsească locuințele, trăind cu cicatricile și traumele războiului barbar pe care Rusia îl poartă în Ucraina. Persoanele care fug din calea bombardamentelor, care trăiesc cu răni de război sau care se tem pentru soarta celor dragi din zonele de conflict au nevoie de sprijin psihologic specific pe măsură ce încep să își refacă viața. Beneficiind de </w:t>
      </w:r>
      <w:r w:rsidRPr="0072258E">
        <w:rPr>
          <w:rStyle w:val="Emphasis"/>
          <w:color w:val="404040"/>
        </w:rPr>
        <w:lastRenderedPageBreak/>
        <w:t>sprijinul și expertiza inestimabile ale Crucii Roșii și ale ONG-urilor partenere, ne angajăm să le furnizăm servicii esențiale refugiaților care sosesc în UE, cum ar fi un prim-ajutor psihologic și îndrumarea către servicii specializate, dacă este cazul, ceea ce va contribui în mod semnificativ la prevenirea și tratarea provocărilor legate de sănătatea mintală.”</w:t>
      </w:r>
    </w:p>
    <w:p w14:paraId="506D8F86" w14:textId="7E84CB62" w:rsidR="0072258E" w:rsidRPr="0072258E" w:rsidRDefault="0072258E" w:rsidP="00765A2F">
      <w:pPr>
        <w:pStyle w:val="separatorarticole"/>
      </w:pPr>
      <w:r w:rsidRPr="0072258E">
        <w:t>*</w:t>
      </w:r>
    </w:p>
    <w:p w14:paraId="0D6B1A13" w14:textId="77777777" w:rsidR="0072258E" w:rsidRPr="0072258E" w:rsidRDefault="0072258E" w:rsidP="00765A2F">
      <w:pPr>
        <w:pStyle w:val="TitluArticolinINFOUE"/>
        <w:rPr>
          <w:lang w:eastAsia="ro-RO"/>
        </w:rPr>
      </w:pPr>
      <w:bookmarkStart w:id="173" w:name="_Toc106112273"/>
      <w:r w:rsidRPr="0072258E">
        <w:t>Sondajul Eurobarometru Flash privind introducerea monedei euro indică un sprijin larg față de moneda comună în statele membre care nu au adoptat-o încă</w:t>
      </w:r>
      <w:bookmarkEnd w:id="173"/>
    </w:p>
    <w:p w14:paraId="60D3F130" w14:textId="77777777" w:rsidR="0072258E" w:rsidRPr="0072258E" w:rsidRDefault="0072258E" w:rsidP="0072258E">
      <w:pPr>
        <w:pStyle w:val="ecl-page-header-standardiseddescription"/>
        <w:shd w:val="clear" w:color="auto" w:fill="FFFFFF"/>
        <w:spacing w:before="120" w:beforeAutospacing="0" w:after="0" w:afterAutospacing="0"/>
        <w:rPr>
          <w:rFonts w:ascii="Verdana" w:hAnsi="Verdana" w:cs="Arial"/>
          <w:color w:val="404040"/>
          <w:sz w:val="18"/>
          <w:szCs w:val="18"/>
        </w:rPr>
      </w:pPr>
      <w:r w:rsidRPr="0072258E">
        <w:rPr>
          <w:rFonts w:ascii="Verdana" w:hAnsi="Verdana" w:cs="Arial"/>
          <w:color w:val="404040"/>
          <w:sz w:val="18"/>
          <w:szCs w:val="18"/>
        </w:rPr>
        <w:t>Astăzi, 10 iunie, Comisia a publicat sondajul său anual Eurobarometru Flash privind introducerea monedei euro în statele membre care nu au adoptat încă moneda comună, desfășurat în perioada 20-29 aprilie 2022 în România și alte 6 state membre.</w:t>
      </w:r>
    </w:p>
    <w:p w14:paraId="3DD8B7AC" w14:textId="4BE5818E" w:rsidR="0072258E" w:rsidRPr="0072258E" w:rsidRDefault="0072258E" w:rsidP="0072258E">
      <w:pPr>
        <w:rPr>
          <w:szCs w:val="18"/>
        </w:rPr>
      </w:pPr>
      <w:r w:rsidRPr="0072258E">
        <w:rPr>
          <w:noProof/>
          <w:szCs w:val="18"/>
          <w:lang w:eastAsia="ro-RO"/>
        </w:rPr>
        <w:drawing>
          <wp:anchor distT="0" distB="0" distL="114300" distR="114300" simplePos="0" relativeHeight="252133376" behindDoc="0" locked="0" layoutInCell="1" allowOverlap="1" wp14:anchorId="4496F6EC" wp14:editId="419CFC11">
            <wp:simplePos x="0" y="0"/>
            <wp:positionH relativeFrom="column">
              <wp:posOffset>2540</wp:posOffset>
            </wp:positionH>
            <wp:positionV relativeFrom="paragraph">
              <wp:posOffset>-7115810</wp:posOffset>
            </wp:positionV>
            <wp:extent cx="2362200" cy="1580362"/>
            <wp:effectExtent l="0" t="0" r="0" b="1270"/>
            <wp:wrapSquare wrapText="bothSides"/>
            <wp:docPr id="28" name="Picture 28" descr="EB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BEuro"/>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362200" cy="1580362"/>
                    </a:xfrm>
                    <a:prstGeom prst="rect">
                      <a:avLst/>
                    </a:prstGeom>
                    <a:noFill/>
                    <a:ln>
                      <a:noFill/>
                    </a:ln>
                  </pic:spPr>
                </pic:pic>
              </a:graphicData>
            </a:graphic>
          </wp:anchor>
        </w:drawing>
      </w:r>
    </w:p>
    <w:p w14:paraId="3E0B1747"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Astăzi, 10 iunie, Comisia a publicat sondajul său anual Eurobarometru Flash privind introducerea monedei euro în statele membre care nu au adoptat încă moneda comună, desfășurat în perioada 20-29 aprilie 2022 în Bulgaria, Croația, Cehia, Ungaria, Polonia, România și Suedia.</w:t>
      </w:r>
    </w:p>
    <w:p w14:paraId="4A88D7CF"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Noul sondaj arată că există un sprijin larg față de moneda euro: în medie, 60 % dintre respondenți sunt în favoarea introducerii monedei euro. Procentele cele mai ridicate, în favoarea adoptării monedei euro, s-au înregistrat în România (77 %) și Ungaria (69 %), iar cele mai scăzute au fost în Bulgaria, Cehia (44 % în ambele țări) și Suedia (45 %). Mai mult de jumătate dintre respondenți consideră că trecerea la moneda euro ar avea consecințe pozitive pentru țara lor (55 %). Totuși, 56 % dintre respondenți consideră că introducerea monedei euro va duce la o creștere a prețurilor.</w:t>
      </w:r>
    </w:p>
    <w:p w14:paraId="7ECBF1F1"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De asemenea, din sondaj reiese că gradul de sensibilizare cu privire la moneda unică în rândul cetățenilor din statele membre din afara zonei euro este în continuă creștere: 53 % dintre respondenți se simt informați cu privire la euro, față de 51 % anul trecut și 44 % în 2015.</w:t>
      </w:r>
    </w:p>
    <w:p w14:paraId="710DB145" w14:textId="77777777" w:rsidR="0072258E" w:rsidRPr="0072258E" w:rsidRDefault="0072258E" w:rsidP="00765A2F">
      <w:r w:rsidRPr="0072258E">
        <w:t>Sondajul complet Eurobarometru Flash este disponibil </w:t>
      </w:r>
      <w:hyperlink r:id="rId58" w:history="1">
        <w:r w:rsidRPr="0072258E">
          <w:rPr>
            <w:rStyle w:val="Hyperlink"/>
            <w:color w:val="004494"/>
          </w:rPr>
          <w:t>aici</w:t>
        </w:r>
      </w:hyperlink>
      <w:r w:rsidRPr="0072258E">
        <w:t>.</w:t>
      </w:r>
    </w:p>
    <w:p w14:paraId="765FF815" w14:textId="3EA80FA9" w:rsidR="0072258E" w:rsidRPr="0072258E" w:rsidRDefault="0072258E" w:rsidP="00765A2F">
      <w:pPr>
        <w:pStyle w:val="separatorarticole"/>
      </w:pPr>
      <w:r w:rsidRPr="0072258E">
        <w:t>*</w:t>
      </w:r>
    </w:p>
    <w:p w14:paraId="68BF3858" w14:textId="77777777" w:rsidR="0072258E" w:rsidRPr="0072258E" w:rsidRDefault="0072258E" w:rsidP="00765A2F">
      <w:pPr>
        <w:pStyle w:val="TitluArticolinINFOUE"/>
        <w:rPr>
          <w:lang w:eastAsia="ro-RO"/>
        </w:rPr>
      </w:pPr>
      <w:bookmarkStart w:id="174" w:name="_Toc106112274"/>
      <w:r w:rsidRPr="0072258E">
        <w:t>UE facilitează creșterea exporturilor de produse agricole din Republica Moldova</w:t>
      </w:r>
      <w:bookmarkEnd w:id="174"/>
    </w:p>
    <w:p w14:paraId="0AE17DD6" w14:textId="77777777" w:rsidR="0072258E" w:rsidRPr="0072258E" w:rsidRDefault="0072258E" w:rsidP="0072258E">
      <w:pPr>
        <w:pStyle w:val="ecl-page-header-standardiseddescription"/>
        <w:shd w:val="clear" w:color="auto" w:fill="FFFFFF"/>
        <w:spacing w:before="120" w:beforeAutospacing="0" w:after="0" w:afterAutospacing="0"/>
        <w:rPr>
          <w:rFonts w:ascii="Verdana" w:hAnsi="Verdana" w:cs="Arial"/>
          <w:color w:val="404040"/>
          <w:sz w:val="18"/>
          <w:szCs w:val="18"/>
        </w:rPr>
      </w:pPr>
      <w:r w:rsidRPr="0072258E">
        <w:rPr>
          <w:rFonts w:ascii="Verdana" w:hAnsi="Verdana" w:cs="Arial"/>
          <w:color w:val="404040"/>
          <w:sz w:val="18"/>
          <w:szCs w:val="18"/>
        </w:rPr>
        <w:t>Cantități mai mari de prune, struguri și alte produse agricole din Republica Moldova ar trebui să ajungă în curând pe piețele europene fără tarife.</w:t>
      </w:r>
    </w:p>
    <w:p w14:paraId="654FDE82" w14:textId="6106A465" w:rsidR="0072258E" w:rsidRPr="0072258E" w:rsidRDefault="0072258E" w:rsidP="00765A2F">
      <w:pPr>
        <w:rPr>
          <w:color w:val="404040"/>
          <w:szCs w:val="18"/>
        </w:rPr>
      </w:pPr>
      <w:r w:rsidRPr="0072258E">
        <w:rPr>
          <w:noProof/>
          <w:szCs w:val="18"/>
          <w:lang w:eastAsia="ro-RO"/>
        </w:rPr>
        <w:drawing>
          <wp:anchor distT="0" distB="0" distL="114300" distR="114300" simplePos="0" relativeHeight="252134400" behindDoc="0" locked="0" layoutInCell="1" allowOverlap="1" wp14:anchorId="17DCD66D" wp14:editId="5C45136A">
            <wp:simplePos x="0" y="0"/>
            <wp:positionH relativeFrom="column">
              <wp:posOffset>2540</wp:posOffset>
            </wp:positionH>
            <wp:positionV relativeFrom="paragraph">
              <wp:posOffset>77470</wp:posOffset>
            </wp:positionV>
            <wp:extent cx="2428875" cy="1624969"/>
            <wp:effectExtent l="0" t="0" r="0" b="0"/>
            <wp:wrapSquare wrapText="bothSides"/>
            <wp:docPr id="27" name="Picture 27" descr="exporturi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orturiRMD"/>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428875" cy="1624969"/>
                    </a:xfrm>
                    <a:prstGeom prst="rect">
                      <a:avLst/>
                    </a:prstGeom>
                    <a:noFill/>
                    <a:ln>
                      <a:noFill/>
                    </a:ln>
                  </pic:spPr>
                </pic:pic>
              </a:graphicData>
            </a:graphic>
          </wp:anchor>
        </w:drawing>
      </w:r>
      <w:r w:rsidRPr="0072258E">
        <w:rPr>
          <w:color w:val="404040"/>
          <w:szCs w:val="18"/>
        </w:rPr>
        <w:t>Comisia Europeană a propus ieri, 9 iunie, un regulament care permite îmbunătățirea temporară a accesului pe piață pentru celelalte șapte produse din Moldova care fac încă obiectul unor contingente tarifare la intrarea în UE. Acesta este un gest de solidaritate a UE menit să ajute Moldova să facă față pierderii principalelor sale piețe și centre de tranzit pentru aceste produse agricole esențiale ca urmare a războiului de agresiune nejustificată purtat de Rusia împotriva Ucrainei.</w:t>
      </w:r>
    </w:p>
    <w:p w14:paraId="4418087A"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Președinta Comisiei Europene, Ursula </w:t>
      </w:r>
      <w:r w:rsidRPr="0072258E">
        <w:rPr>
          <w:rStyle w:val="Strong"/>
          <w:color w:val="404040"/>
        </w:rPr>
        <w:t>von der Leyen</w:t>
      </w:r>
      <w:r w:rsidRPr="0072258E">
        <w:rPr>
          <w:rFonts w:ascii="Verdana" w:hAnsi="Verdana"/>
          <w:color w:val="404040"/>
          <w:sz w:val="18"/>
          <w:szCs w:val="18"/>
        </w:rPr>
        <w:t>, a declarat: </w:t>
      </w:r>
      <w:r w:rsidRPr="0072258E">
        <w:rPr>
          <w:rStyle w:val="Emphasis"/>
          <w:color w:val="404040"/>
        </w:rPr>
        <w:t>„Agresiunea neprovocată și nejustificată a Rusiei afectează în mod grav nu numai economia Ucrainei, ci și pe cea a vecinilor săi și a vecinilor noștri, în acest caz Moldova. Decizia de astăzi, care a mărit de peste două ori cantitățile a șapte contingente pentru principalele exporturi agricole din Republica Moldova, este un semn tangibil al solidarității UE.”</w:t>
      </w:r>
    </w:p>
    <w:p w14:paraId="690A15B2"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Valdis </w:t>
      </w:r>
      <w:r w:rsidRPr="0072258E">
        <w:rPr>
          <w:rStyle w:val="Strong"/>
          <w:color w:val="404040"/>
        </w:rPr>
        <w:t>Dombrovskis</w:t>
      </w:r>
      <w:r w:rsidRPr="0072258E">
        <w:rPr>
          <w:rFonts w:ascii="Verdana" w:hAnsi="Verdana"/>
          <w:color w:val="404040"/>
          <w:sz w:val="18"/>
          <w:szCs w:val="18"/>
        </w:rPr>
        <w:t>, vicepreședinte executiv al Comisiei Europene și comisar pentru comerț, a declarat: „</w:t>
      </w:r>
      <w:r w:rsidRPr="0072258E">
        <w:rPr>
          <w:rStyle w:val="Emphasis"/>
          <w:color w:val="404040"/>
        </w:rPr>
        <w:t xml:space="preserve">Capacitatea Moldovei de a face schimburi comerciale cu întreaga lume a fost afectată grav de războiul violent și ilegal declanșat de Rusia. Prin facilitarea accesului pe piață al principalelor produse agricole, UE ajută Moldova să redirecționeze schimburile comerciale afectate. Acest lucru îi va ajuta în </w:t>
      </w:r>
      <w:r w:rsidRPr="0072258E">
        <w:rPr>
          <w:rStyle w:val="Emphasis"/>
          <w:color w:val="404040"/>
        </w:rPr>
        <w:lastRenderedPageBreak/>
        <w:t>mod direct pe producătorii moldoveni, sprijinind reziliența economică a țării în actualele circumstanțe dificile. UE își intensifică încă o dată eforturile de sprijinire a unui vecin european.”</w:t>
      </w:r>
    </w:p>
    <w:p w14:paraId="42EF44A6"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Comisarul european pentru agricultură, Janusz </w:t>
      </w:r>
      <w:r w:rsidRPr="0072258E">
        <w:rPr>
          <w:rStyle w:val="Strong"/>
          <w:color w:val="404040"/>
        </w:rPr>
        <w:t>Wojciechowski</w:t>
      </w:r>
      <w:r w:rsidRPr="0072258E">
        <w:rPr>
          <w:rFonts w:ascii="Verdana" w:hAnsi="Verdana"/>
          <w:color w:val="404040"/>
          <w:sz w:val="18"/>
          <w:szCs w:val="18"/>
        </w:rPr>
        <w:t>, a declarat: </w:t>
      </w:r>
      <w:r w:rsidRPr="0072258E">
        <w:rPr>
          <w:rStyle w:val="Emphasis"/>
          <w:color w:val="404040"/>
        </w:rPr>
        <w:t>„Sper că această măsură fără precedent îi va ajuta pe producătorii moldoveni să atenueze unele dintre presiunile pieței pe termen scurt. Pe termen lung, îi încurajăm pe omologii noștri moldoveni să investească în capacități de prelucrare și în producția cu o valoare adăugată mai mare. Creșterea în continuare a calității produselor lor va contribui la consolidarea poziției producătorilor moldoveni pe piața UE. Suntem pregătiți să oferim asistență tehnică în acest sens.”</w:t>
      </w:r>
    </w:p>
    <w:p w14:paraId="70297F3A"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Practic, toate produsele moldovene pot intra deja în UE fără tarife vamale în cadrul zonei de liber schimb aprofundate și cuprinzătoare UE-Moldova (DCFTA).</w:t>
      </w:r>
    </w:p>
    <w:p w14:paraId="0302B5A2"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Măsurile propuse acoperă celelalte șapte produse pentru care exporturile din Moldova către UE nu sunt încă complet liberalizate: prune, struguri de masă, mere, tomate, usturoi, cireșe și suc de struguri. Regulamentul mărește de peste două ori– pentru o perioadă de un an – cantitățile din aceste produse care pot fi importate fără taxe vamale din Moldova în UE. Volumele potențial scutite de taxe vamale vor fi acum în valoare de aproximativ 55 de milioane EUR, inclusiv aproximativ 10 milioane EUR pentru prune și 27 de milioane EUR pentru struguri de masă.</w:t>
      </w:r>
    </w:p>
    <w:p w14:paraId="19FEA826"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Această liberalizare suplimentară a importurilor în UE îi va ajuta pe producătorii și exportatorii moldoveni să depășească pierderile de pe piață pe care le-au suferit ca urmare a războiului purtat de Rusia împotriva Ucrainei. Alături de accesul sporit la transportul rutier în UE (în prezent în curs de negociere între Moldova și UE), liberalizarea ar trebui să faciliteze în mod considerabil exportul de produse moldovene către și prin UE. În plus, suntem deschiși să discutăm despre continuarea liberalizării reciproce, ceea ce ar face ca UE și Moldova să avanseze cu încă un pas în direcția liberalizării totale a comerțului.</w:t>
      </w:r>
    </w:p>
    <w:p w14:paraId="5985784C"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Etapele următoare</w:t>
      </w:r>
    </w:p>
    <w:p w14:paraId="7064D8D1"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În prezent, propunerea trebuie să fie analizată și aprobată de Parlamentul European și de Consiliul Uniunii Europene.</w:t>
      </w:r>
    </w:p>
    <w:p w14:paraId="67DEC8A1"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Context</w:t>
      </w:r>
    </w:p>
    <w:p w14:paraId="68C3A852"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Republica Moldova beneficiază începând din 2014 de un acord de asociere cu UE, inclusiv de acordul privind zona de liber schimb aprofundată și cuprinzătoare (DCFTA). Acest sistem comercial preferențial a permis Moldovei să profite de eliminarea tarifelor la exporturile către UE ale tuturor mărfurilor, cu excepția a șapte produse agricole. Moldova se bucură, de asemenea, de un acces sporit la piața serviciilor din UE și de condiții de investiții mai bune. La rândul său, Moldova s-a angajat să își apropie legislația de acquis-ul UE într-o gamă largă de domenii.</w:t>
      </w:r>
    </w:p>
    <w:p w14:paraId="351D37D8"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Măsurile temporare și excepționale propuse astăzi de Comisia Europeană vor sprijini și vor stimula în continuare fluxurile comerciale existente din Moldova către UE și vor sprijini economia Moldovei. Acest lucru este în conformitate cu principalele obiective ale Acordului de asociere, care sunt de a stabili condițiile pentru consolidarea relațiilor economice și comerciale, conducând la integrarea treptată a Moldovei pe piața internă a UE, precum și de a contribui la consolidarea democrației și a stabilității politice, economice și instituționale în Moldova.</w:t>
      </w:r>
    </w:p>
    <w:p w14:paraId="3CF41C15"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Fonts w:ascii="Verdana" w:hAnsi="Verdana"/>
          <w:color w:val="404040"/>
          <w:sz w:val="18"/>
          <w:szCs w:val="18"/>
        </w:rPr>
        <w:t>De asemenea, UE sprijină Moldova cu asistență financiară semnificativă pentru a ajuta această țară să facă față situației create de agresiunea Rusiei împotriva Ucrainei.</w:t>
      </w:r>
    </w:p>
    <w:p w14:paraId="7BE61775" w14:textId="77777777" w:rsidR="0072258E" w:rsidRPr="0072258E" w:rsidRDefault="0072258E" w:rsidP="0072258E">
      <w:pPr>
        <w:pStyle w:val="NormalWeb"/>
        <w:spacing w:before="120" w:beforeAutospacing="0" w:after="0" w:afterAutospacing="0"/>
        <w:rPr>
          <w:rFonts w:ascii="Verdana" w:hAnsi="Verdana"/>
          <w:color w:val="404040"/>
          <w:sz w:val="18"/>
          <w:szCs w:val="18"/>
        </w:rPr>
      </w:pPr>
      <w:r w:rsidRPr="0072258E">
        <w:rPr>
          <w:rStyle w:val="Strong"/>
          <w:color w:val="404040"/>
        </w:rPr>
        <w:t>Pentru informații suplimentare</w:t>
      </w:r>
    </w:p>
    <w:p w14:paraId="451EEECC" w14:textId="79FAF77A" w:rsidR="0072258E" w:rsidRPr="0072258E" w:rsidRDefault="0072258E" w:rsidP="0072258E">
      <w:pPr>
        <w:pStyle w:val="NormalWeb"/>
        <w:spacing w:before="120" w:beforeAutospacing="0" w:after="0" w:afterAutospacing="0"/>
        <w:rPr>
          <w:rFonts w:ascii="Verdana" w:hAnsi="Verdana"/>
          <w:color w:val="404040"/>
          <w:sz w:val="18"/>
          <w:szCs w:val="18"/>
        </w:rPr>
      </w:pPr>
      <w:hyperlink r:id="rId60" w:history="1">
        <w:r w:rsidRPr="0072258E">
          <w:rPr>
            <w:rStyle w:val="Hyperlink"/>
            <w:rFonts w:cs="Arial"/>
            <w:color w:val="004494"/>
          </w:rPr>
          <w:t>Textul regulamentului propus</w:t>
        </w:r>
      </w:hyperlink>
      <w:hyperlink r:id="rId61" w:history="1"/>
    </w:p>
    <w:p w14:paraId="4EBBD55C" w14:textId="7AFEDD85" w:rsidR="0072258E" w:rsidRPr="0072258E" w:rsidRDefault="0072258E" w:rsidP="0072258E">
      <w:pPr>
        <w:pStyle w:val="NormalWeb"/>
        <w:spacing w:before="120" w:beforeAutospacing="0" w:after="0" w:afterAutospacing="0"/>
        <w:rPr>
          <w:rFonts w:ascii="Verdana" w:hAnsi="Verdana"/>
          <w:color w:val="404040"/>
          <w:sz w:val="18"/>
          <w:szCs w:val="18"/>
        </w:rPr>
      </w:pPr>
      <w:hyperlink r:id="rId62" w:history="1">
        <w:r w:rsidRPr="0072258E">
          <w:rPr>
            <w:rStyle w:val="Hyperlink"/>
            <w:rFonts w:cs="Arial"/>
            <w:color w:val="004494"/>
          </w:rPr>
          <w:t>Acordul de asociere UE-Moldova</w:t>
        </w:r>
      </w:hyperlink>
      <w:hyperlink r:id="rId63" w:history="1"/>
    </w:p>
    <w:p w14:paraId="16F50EAE" w14:textId="77777777" w:rsidR="0072258E" w:rsidRPr="0072258E" w:rsidRDefault="0072258E" w:rsidP="0072258E">
      <w:pPr>
        <w:pStyle w:val="NormalWeb"/>
        <w:spacing w:before="120" w:beforeAutospacing="0" w:after="0" w:afterAutospacing="0"/>
        <w:rPr>
          <w:rFonts w:ascii="Verdana" w:hAnsi="Verdana"/>
          <w:color w:val="404040"/>
          <w:sz w:val="18"/>
          <w:szCs w:val="18"/>
        </w:rPr>
      </w:pPr>
      <w:hyperlink r:id="rId64" w:history="1">
        <w:r w:rsidRPr="0072258E">
          <w:rPr>
            <w:rStyle w:val="Hyperlink"/>
            <w:rFonts w:cs="Arial"/>
            <w:color w:val="004494"/>
          </w:rPr>
          <w:t>Solidaritatea UE cu Moldova</w:t>
        </w:r>
      </w:hyperlink>
    </w:p>
    <w:p w14:paraId="5240DE09" w14:textId="173BC448" w:rsidR="0072258E" w:rsidRPr="0072258E" w:rsidRDefault="0072258E" w:rsidP="0072258E">
      <w:pPr>
        <w:pStyle w:val="NormalWeb"/>
        <w:spacing w:before="120" w:beforeAutospacing="0" w:after="0" w:afterAutospacing="0"/>
        <w:rPr>
          <w:rFonts w:ascii="Verdana" w:hAnsi="Verdana"/>
          <w:color w:val="404040"/>
          <w:sz w:val="18"/>
          <w:szCs w:val="18"/>
        </w:rPr>
      </w:pPr>
      <w:hyperlink r:id="rId65" w:history="1">
        <w:r w:rsidRPr="0072258E">
          <w:rPr>
            <w:rStyle w:val="Hyperlink"/>
            <w:rFonts w:cs="Arial"/>
            <w:color w:val="004494"/>
          </w:rPr>
          <w:t>Negocierile dintre Moldova și UE privind liberalizarea transportului rutier</w:t>
        </w:r>
      </w:hyperlink>
      <w:hyperlink r:id="rId66" w:history="1"/>
    </w:p>
    <w:p w14:paraId="6E56731D" w14:textId="56DD9D31" w:rsidR="0072258E" w:rsidRPr="0072258E" w:rsidRDefault="00765A2F" w:rsidP="00765A2F">
      <w:pPr>
        <w:pStyle w:val="separatorarticole"/>
      </w:pPr>
      <w:r>
        <w:t>*</w:t>
      </w:r>
    </w:p>
    <w:p w14:paraId="1EDC559B" w14:textId="77777777" w:rsidR="001C4328" w:rsidRPr="001361DF" w:rsidRDefault="001C4328" w:rsidP="00D93CBD">
      <w:pPr>
        <w:pStyle w:val="TitluArticolinINFOUE"/>
        <w:rPr>
          <w:lang w:eastAsia="ro-RO"/>
        </w:rPr>
      </w:pPr>
      <w:bookmarkStart w:id="175" w:name="_Toc106112275"/>
      <w:r w:rsidRPr="001361DF">
        <w:lastRenderedPageBreak/>
        <w:t>Comisia și autoritățile de protecție a consumatorilor îndeamnă WhatsApp să informeze mai bine consumatorii</w:t>
      </w:r>
      <w:bookmarkEnd w:id="175"/>
    </w:p>
    <w:p w14:paraId="05CCD3A9" w14:textId="77777777" w:rsidR="001C4328" w:rsidRPr="001361DF" w:rsidRDefault="001C4328"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Comisia și autoritățile de protecție a consumatorilor îndeamnă WhatsApp să informeze mai bine consumatorii cu privire la politicile sale în materie de date și la actualizările condițiilor sale de furnizare a serviciilor</w:t>
      </w:r>
    </w:p>
    <w:p w14:paraId="4D253095" w14:textId="4A0CB151"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2112" behindDoc="0" locked="0" layoutInCell="1" allowOverlap="1" wp14:anchorId="7D01644B" wp14:editId="04750EE0">
            <wp:simplePos x="0" y="0"/>
            <wp:positionH relativeFrom="column">
              <wp:posOffset>-1593</wp:posOffset>
            </wp:positionH>
            <wp:positionV relativeFrom="paragraph">
              <wp:posOffset>73169</wp:posOffset>
            </wp:positionV>
            <wp:extent cx="2044460" cy="1367925"/>
            <wp:effectExtent l="0" t="0" r="0" b="3810"/>
            <wp:wrapSquare wrapText="bothSides"/>
            <wp:docPr id="19" name="Picture 19" descr="WhatsAp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_"/>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44460" cy="1367925"/>
                    </a:xfrm>
                    <a:prstGeom prst="rect">
                      <a:avLst/>
                    </a:prstGeom>
                    <a:noFill/>
                    <a:ln>
                      <a:noFill/>
                    </a:ln>
                  </pic:spPr>
                </pic:pic>
              </a:graphicData>
            </a:graphic>
          </wp:anchor>
        </w:drawing>
      </w:r>
      <w:r w:rsidRPr="001361DF">
        <w:rPr>
          <w:color w:val="404040"/>
          <w:szCs w:val="18"/>
        </w:rPr>
        <w:t>Astăzi, 8 iunie, Rețeaua de cooperare în materie de protecție a consumatorilor (CPC) și Comisia Europeană au transmis o nouă scrisoare către WhatsApp, prin care aceasta este invitată să ia măsuri pentru a răspunde preocupărilor rămase în ceea ce privește actualizările privind condițiile sale de furnizare a serviciilor și politica de confidențialitate și să informeze în mod clar consumatorii cu privire la modelul lor de afaceri.</w:t>
      </w:r>
    </w:p>
    <w:p w14:paraId="26C5AAB5"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special, WhatsApp este invitată să arate modul în care intenționează să comunice orice actualizări viitoare ale condițiilor sale de utilizare și să facă acest lucru astfel încât consumatorii să poată înțelege cu ușurință implicațiile unor astfel de actualizări și să poată decide în mod liber dacă doresc să utilizeze în continuare WhatsApp după aceste actualizări.</w:t>
      </w:r>
    </w:p>
    <w:p w14:paraId="0832AEC9"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De asemenea, societății i se solicită să clarifice dacă obține venituri din politicile comerciale referitoare la datele utilizatorilor.</w:t>
      </w:r>
    </w:p>
    <w:p w14:paraId="1B67FE02"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Didier </w:t>
      </w:r>
      <w:r w:rsidRPr="001361DF">
        <w:rPr>
          <w:rStyle w:val="Strong"/>
          <w:color w:val="404040"/>
        </w:rPr>
        <w:t>Reynders</w:t>
      </w:r>
      <w:r w:rsidRPr="001361DF">
        <w:rPr>
          <w:rFonts w:ascii="Verdana" w:hAnsi="Verdana"/>
          <w:color w:val="404040"/>
          <w:sz w:val="18"/>
          <w:szCs w:val="18"/>
        </w:rPr>
        <w:t>, comisarul pentru justiție, a declarat: </w:t>
      </w:r>
      <w:r w:rsidRPr="001361DF">
        <w:rPr>
          <w:rStyle w:val="Emphasis"/>
          <w:color w:val="404040"/>
        </w:rPr>
        <w:t>„WhatsApp trebuie să se asigure că utilizatorii înțeleg ceea ce acceptă și modul în care datele lor cu caracter personal sunt utilizate în scopuri comerciale, în special pentru a oferi servicii unor parteneri de afaceri. Mă aștept în continuare ca WhatsApp să respecte pe deplin normele UE care protejează consumatorii și drepturile lor fundamentale.”</w:t>
      </w:r>
      <w:r w:rsidRPr="001361DF">
        <w:rPr>
          <w:rFonts w:ascii="Verdana" w:hAnsi="Verdana"/>
          <w:color w:val="404040"/>
          <w:sz w:val="18"/>
          <w:szCs w:val="18"/>
        </w:rPr>
        <w:t> </w:t>
      </w:r>
    </w:p>
    <w:p w14:paraId="7F8853E9" w14:textId="3F070350"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O primă scrisoare s-a trimis în </w:t>
      </w:r>
      <w:hyperlink r:id="rId68" w:history="1">
        <w:r w:rsidRPr="001361DF">
          <w:rPr>
            <w:rStyle w:val="Hyperlink"/>
            <w:rFonts w:cs="Arial"/>
            <w:color w:val="004494"/>
          </w:rPr>
          <w:t>ianuarie 2022</w:t>
        </w:r>
      </w:hyperlink>
      <w:hyperlink r:id="rId69" w:history="1"/>
      <w:r w:rsidRPr="001361DF">
        <w:rPr>
          <w:rFonts w:ascii="Verdana" w:hAnsi="Verdana"/>
          <w:color w:val="404040"/>
          <w:sz w:val="18"/>
          <w:szCs w:val="18"/>
        </w:rPr>
        <w:t>, deoarece mai multe actualizări ale condițiilor sale de utilizare efectuate în 2021 au fost problematice pentru consumatori. Ca răspuns, WhatsApp a demonstrat că a furnizat utilizatorilor informațiile necesare cu privire la astfel de actualizări, inclusiv prin intermediul unor notificări în aplicație sau al serviciului său de asistență.</w:t>
      </w:r>
    </w:p>
    <w:p w14:paraId="2C0812E6" w14:textId="5AE8F09D"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Cu toate acestea, informațiile sunt furnizate de WhatsApp într-un mod insistent și sunt considerate insuficiente și derutante pentru utilizatori. WhatsApp are acum la dispoziție o lună pentru a le demonstra autorităților de protecție a consumatorilor că practicile sale respectă legislația UE privind protecția consumatorilor. Mai multe informații despre modul în care Comisia colaborează cu autoritățile de protecție a consumatorilor pentru a investiga și a combate încălcările legislației UE privind protecția consumatorilor pot fi găsite </w:t>
      </w:r>
      <w:hyperlink r:id="rId70" w:history="1">
        <w:r w:rsidRPr="001361DF">
          <w:rPr>
            <w:rStyle w:val="Hyperlink"/>
            <w:rFonts w:cs="Arial"/>
            <w:color w:val="004494"/>
          </w:rPr>
          <w:t>aici</w:t>
        </w:r>
      </w:hyperlink>
      <w:hyperlink r:id="rId71" w:history="1"/>
      <w:r w:rsidRPr="001361DF">
        <w:rPr>
          <w:rFonts w:ascii="Verdana" w:hAnsi="Verdana"/>
          <w:color w:val="404040"/>
          <w:sz w:val="18"/>
          <w:szCs w:val="18"/>
        </w:rPr>
        <w:t>.</w:t>
      </w:r>
    </w:p>
    <w:p w14:paraId="4CC9C1C5" w14:textId="35639A04"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Comisia a publicat recent un </w:t>
      </w:r>
      <w:hyperlink r:id="rId72" w:history="1">
        <w:r w:rsidRPr="001361DF">
          <w:rPr>
            <w:rStyle w:val="Hyperlink"/>
            <w:rFonts w:cs="Arial"/>
            <w:color w:val="004494"/>
          </w:rPr>
          <w:t>raport</w:t>
        </w:r>
      </w:hyperlink>
      <w:hyperlink r:id="rId73" w:history="1"/>
      <w:r w:rsidRPr="001361DF">
        <w:rPr>
          <w:rFonts w:ascii="Verdana" w:hAnsi="Verdana"/>
          <w:color w:val="404040"/>
          <w:sz w:val="18"/>
          <w:szCs w:val="18"/>
        </w:rPr>
        <w:t> care prezintă o imagine de ansamblu a acțiunilor anterioare ale acestei rețele, cuprinzând o analiză prospectivă a tendințelor pieței care afectează drepturile consumatorilor și asupra căruia rețeaua CPC își va concentra activitățile în următorii doi ani. </w:t>
      </w:r>
    </w:p>
    <w:p w14:paraId="21AB3316" w14:textId="291E8A61" w:rsidR="001C4328" w:rsidRPr="001361DF" w:rsidRDefault="001C4328" w:rsidP="00D93CBD">
      <w:pPr>
        <w:pStyle w:val="separatorarticole"/>
      </w:pPr>
      <w:r w:rsidRPr="001361DF">
        <w:t>*</w:t>
      </w:r>
    </w:p>
    <w:p w14:paraId="634711B0" w14:textId="77777777" w:rsidR="001C4328" w:rsidRPr="00D93CBD" w:rsidRDefault="001C4328" w:rsidP="00D93CBD">
      <w:pPr>
        <w:pStyle w:val="TitluArticolinINFOUE"/>
      </w:pPr>
      <w:bookmarkStart w:id="176" w:name="_Toc106112276"/>
      <w:r w:rsidRPr="00D93CBD">
        <w:rPr>
          <w:rStyle w:val="TitluArticolinINFOUECaracter"/>
          <w:b/>
        </w:rPr>
        <w:t>CE aprobă o schemă românească în valoare de 357 milioane EUR pentru IMM-urile care își</w:t>
      </w:r>
      <w:r w:rsidRPr="00D93CBD">
        <w:t xml:space="preserve"> desfășoară activitatea în sectoare extrem de afectate de pandemia de coronavirus</w:t>
      </w:r>
      <w:bookmarkEnd w:id="176"/>
    </w:p>
    <w:p w14:paraId="387E783C" w14:textId="77777777" w:rsidR="001C4328" w:rsidRPr="001361DF" w:rsidRDefault="001C4328"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Comisia Europeană a aprobat o schemă românească în valoare de 357 milioane EUR (1.7 miliarde RON) menită să sprijine întreprinderile mici și mijlocii afectate de pandemia de coronavirus.</w:t>
      </w:r>
    </w:p>
    <w:p w14:paraId="72838AA4" w14:textId="49186345"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3136" behindDoc="0" locked="0" layoutInCell="1" allowOverlap="1" wp14:anchorId="0A371171" wp14:editId="7D4EF130">
            <wp:simplePos x="0" y="0"/>
            <wp:positionH relativeFrom="column">
              <wp:posOffset>-1593</wp:posOffset>
            </wp:positionH>
            <wp:positionV relativeFrom="paragraph">
              <wp:posOffset>75601</wp:posOffset>
            </wp:positionV>
            <wp:extent cx="1992701" cy="1333294"/>
            <wp:effectExtent l="0" t="0" r="7620" b="635"/>
            <wp:wrapSquare wrapText="bothSides"/>
            <wp:docPr id="20" name="Picture 20" descr="StateAid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Aid__"/>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92701" cy="1333294"/>
                    </a:xfrm>
                    <a:prstGeom prst="rect">
                      <a:avLst/>
                    </a:prstGeom>
                    <a:noFill/>
                    <a:ln>
                      <a:noFill/>
                    </a:ln>
                  </pic:spPr>
                </pic:pic>
              </a:graphicData>
            </a:graphic>
          </wp:anchor>
        </w:drawing>
      </w:r>
      <w:r w:rsidRPr="001361DF">
        <w:rPr>
          <w:color w:val="404040"/>
          <w:szCs w:val="18"/>
        </w:rPr>
        <w:t>Schema a fost aprobată în temeiul </w:t>
      </w:r>
      <w:hyperlink r:id="rId75" w:history="1">
        <w:r w:rsidRPr="001361DF">
          <w:rPr>
            <w:rStyle w:val="Hyperlink"/>
            <w:rFonts w:cs="Arial"/>
            <w:color w:val="004494"/>
          </w:rPr>
          <w:t>cadrului temporar privind ajutoarele de stat</w:t>
        </w:r>
      </w:hyperlink>
      <w:hyperlink r:id="rId76" w:history="1"/>
      <w:r w:rsidRPr="001361DF">
        <w:rPr>
          <w:color w:val="404040"/>
          <w:szCs w:val="18"/>
        </w:rPr>
        <w:t>.</w:t>
      </w:r>
    </w:p>
    <w:p w14:paraId="3B6AB4BB"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Măsura vizează abordarea nevoilor de lichidități ale beneficiarilor eligibili prin stimularea investițiilor în zonele urbane, pentru a atinge obiective precum digitalizarea activității, alinierea la standardele de mediu ori îmbunătățirea acestora sau creșterea capacității de producție.</w:t>
      </w:r>
    </w:p>
    <w:p w14:paraId="07A44D38"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xml:space="preserve">În cadrul schemei, sprijinul public va lua forma (i) unei garanții pentru investiții sau a unor împrumuturi pentru nevoile de capital circulant, </w:t>
      </w:r>
      <w:r w:rsidRPr="001361DF">
        <w:rPr>
          <w:rFonts w:ascii="Verdana" w:hAnsi="Verdana"/>
          <w:color w:val="404040"/>
          <w:sz w:val="18"/>
          <w:szCs w:val="18"/>
        </w:rPr>
        <w:lastRenderedPageBreak/>
        <w:t>care să acopere până la 90 % din împrumuturile acordate de instituțiile de creditare; și (ii) subvenții directe. Valoarea nominală totală a garanțiilor va fi de aproximativ 303 milioane EUR, iar bugetul total alocat granturilor directe va fi de aproximativ 54 milioane EUR.</w:t>
      </w:r>
    </w:p>
    <w:p w14:paraId="4533044E"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Granturile directe vor acoperi anumite taxe legate de garanția de stat, o parte din dobânda împrumuturilor și o cotă maximă de 10 % din împrumut.</w:t>
      </w:r>
    </w:p>
    <w:p w14:paraId="51390F8F"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Comisia a constatat că schema românească respectă condițiile prevăzute în cadrul temporar. În special, în ceea ce privește ajutoarele sub formă de garanții pentru împrumuturi, (i) garanția se referă atât la împrumuturi pentru investiții, cât și la împrumuturi pentru capital circulant; (ii) durata maximă a garanției este de 6 ani; și (iii) primele de garanție respectă nivelurile minime stabilite în cadrul temporar.</w:t>
      </w:r>
    </w:p>
    <w:p w14:paraId="1516B805"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ceea ce privește ajutoarele limitate sub formă de granturi directe, acestea nu vor depăși 2,3 milioane EUR per beneficiar. În ambele cazuri sus-menționate, ajutorul se va acorda cel târziu la 30 iunie 2022. Comisia a concluzionat că măsura este necesară, adecvată și proporțională pentru a remedia o perturbare gravă a economiei unui stat membru, în conformitate cu articolul 107 alineatul (3) litera (b) din TFUE și cu condițiile prevăzute în cadrul temporar.</w:t>
      </w:r>
    </w:p>
    <w:p w14:paraId="239E4DD7" w14:textId="47A52369"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Pe această bază, Comisia a aprobat măsura în temeiul normelor UE privind ajutoarele de stat. Mai multe informații cu privire la cadrul temporar și la alte acțiuni întreprinse de Comisie pentru a aborda impactul economic al pandemiei de coronavirus pot fi găsite </w:t>
      </w:r>
      <w:hyperlink r:id="rId77" w:history="1">
        <w:r w:rsidRPr="001361DF">
          <w:rPr>
            <w:rStyle w:val="Hyperlink"/>
            <w:rFonts w:cs="Arial"/>
            <w:color w:val="004494"/>
          </w:rPr>
          <w:t>aici</w:t>
        </w:r>
      </w:hyperlink>
      <w:r w:rsidRPr="001361DF">
        <w:rPr>
          <w:rFonts w:ascii="Verdana" w:hAnsi="Verdana"/>
          <w:color w:val="404040"/>
          <w:sz w:val="18"/>
          <w:szCs w:val="18"/>
        </w:rPr>
        <w:t>. Versiunea neconfidențială a deciziei va fi disponibilă cu numărul de caz SA.102828 în </w:t>
      </w:r>
      <w:hyperlink r:id="rId78" w:history="1">
        <w:r w:rsidRPr="001361DF">
          <w:rPr>
            <w:rStyle w:val="Hyperlink"/>
            <w:rFonts w:cs="Arial"/>
            <w:color w:val="004494"/>
          </w:rPr>
          <w:t>Registrul ajutoarelor de stat</w:t>
        </w:r>
      </w:hyperlink>
      <w:r w:rsidRPr="001361DF">
        <w:rPr>
          <w:rFonts w:ascii="Verdana" w:hAnsi="Verdana"/>
          <w:color w:val="404040"/>
          <w:sz w:val="18"/>
          <w:szCs w:val="18"/>
        </w:rPr>
        <w:t>, pe site-ul web al Comisiei privind </w:t>
      </w:r>
      <w:hyperlink r:id="rId79" w:history="1">
        <w:r w:rsidRPr="001361DF">
          <w:rPr>
            <w:rStyle w:val="Hyperlink"/>
            <w:rFonts w:cs="Arial"/>
            <w:color w:val="004494"/>
          </w:rPr>
          <w:t>concurența</w:t>
        </w:r>
      </w:hyperlink>
      <w:hyperlink r:id="rId80" w:history="1"/>
      <w:r w:rsidRPr="001361DF">
        <w:rPr>
          <w:rFonts w:ascii="Verdana" w:hAnsi="Verdana"/>
          <w:color w:val="404040"/>
          <w:sz w:val="18"/>
          <w:szCs w:val="18"/>
        </w:rPr>
        <w:t>, de îndată ce vor fi fost soluționate eventualele probleme legate de confidențialitate</w:t>
      </w:r>
    </w:p>
    <w:p w14:paraId="13AF7B90" w14:textId="4656176D" w:rsidR="001C4328" w:rsidRPr="001361DF" w:rsidRDefault="001C4328" w:rsidP="00094459">
      <w:pPr>
        <w:pStyle w:val="separatorarticole"/>
      </w:pPr>
      <w:r w:rsidRPr="001361DF">
        <w:t>*</w:t>
      </w:r>
    </w:p>
    <w:p w14:paraId="01E2F3E6" w14:textId="77777777" w:rsidR="001C4328" w:rsidRPr="001361DF" w:rsidRDefault="001C4328" w:rsidP="00094459">
      <w:pPr>
        <w:pStyle w:val="TitluArticolinINFOUE"/>
        <w:rPr>
          <w:lang w:eastAsia="ro-RO"/>
        </w:rPr>
      </w:pPr>
      <w:bookmarkStart w:id="177" w:name="_Toc106112277"/>
      <w:r w:rsidRPr="001361DF">
        <w:t>Fondul pentru modernizare investește 2,4 miliarde EUR pentru a accelera tranziția verde în România și alte 6 țări beneficiare</w:t>
      </w:r>
      <w:bookmarkEnd w:id="177"/>
    </w:p>
    <w:p w14:paraId="7AB3739A" w14:textId="77777777" w:rsidR="001C4328" w:rsidRPr="001361DF" w:rsidRDefault="001C4328"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În prezent, Fondul pentru modernizare a pus 2,4 miliarde EUR la dispoziția României și altor șase țări beneficiare.</w:t>
      </w:r>
    </w:p>
    <w:p w14:paraId="6FA7C3DC" w14:textId="14883D3D"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4160" behindDoc="0" locked="0" layoutInCell="1" allowOverlap="1" wp14:anchorId="5D97DE4C" wp14:editId="192AA853">
            <wp:simplePos x="0" y="0"/>
            <wp:positionH relativeFrom="column">
              <wp:posOffset>-1593</wp:posOffset>
            </wp:positionH>
            <wp:positionV relativeFrom="paragraph">
              <wp:posOffset>78393</wp:posOffset>
            </wp:positionV>
            <wp:extent cx="2277373" cy="1523764"/>
            <wp:effectExtent l="0" t="0" r="8890" b="635"/>
            <wp:wrapSquare wrapText="bothSides"/>
            <wp:docPr id="21" name="Picture 21" descr="FondModerni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ndModernizare"/>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277373" cy="1523764"/>
                    </a:xfrm>
                    <a:prstGeom prst="rect">
                      <a:avLst/>
                    </a:prstGeom>
                    <a:noFill/>
                    <a:ln>
                      <a:noFill/>
                    </a:ln>
                  </pic:spPr>
                </pic:pic>
              </a:graphicData>
            </a:graphic>
          </wp:anchor>
        </w:drawing>
      </w:r>
      <w:r w:rsidRPr="001361DF">
        <w:rPr>
          <w:color w:val="404040"/>
          <w:szCs w:val="18"/>
        </w:rPr>
        <w:t>În prezent, Fondul pentru modernizare a pus 2,4 miliarde EUR la dispoziția a șapte țări beneficiare pentru a contribui la modernizarea sistemelor lor energetice, pentru a reduce emisiile de gaze cu efect de seră în sectorul energetic, industrial și al transporturilor și pentru a le sprijini să își îndeplinească obiectivele în materie de climă și energie pentru 2030. Investițiile au fost confirmate în România (1 391,6 milioane EUR), Cehia (520 milioane EUR), Polonia (244,2 milioane EUR), Lituania (85 milioane EUR), Ungaria (74,3 milioane EUR), Slovacia (49,5 milioane EUR) și Croația (40 milioane EUR). Aceasta încheie cel de al treilea ciclu de investiții al Fondului pentru modernizare și reprezintă o creștere bruscă a cheltuielilor în comparație cu ciclurile de investiții anterioare.</w:t>
      </w:r>
    </w:p>
    <w:p w14:paraId="1211C251"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Prim-vicepreședintele Comisiei Europene, Frans </w:t>
      </w:r>
      <w:r w:rsidRPr="001361DF">
        <w:rPr>
          <w:rStyle w:val="Strong"/>
          <w:color w:val="404040"/>
        </w:rPr>
        <w:t>Timmermans</w:t>
      </w:r>
      <w:r w:rsidRPr="001361DF">
        <w:rPr>
          <w:rFonts w:ascii="Verdana" w:hAnsi="Verdana"/>
          <w:color w:val="404040"/>
          <w:sz w:val="18"/>
          <w:szCs w:val="18"/>
        </w:rPr>
        <w:t>, a declarat: </w:t>
      </w:r>
      <w:r w:rsidRPr="001361DF">
        <w:rPr>
          <w:rStyle w:val="Emphasis"/>
          <w:color w:val="404040"/>
        </w:rPr>
        <w:t>„Fondul pentru modernizare reprezintă solidaritatea europeană în acțiune. Datorită veniturilor din sistemul de comercializare a certificatelor de emisii, acesta oferă rezultate concrete în practică, ajutând țările beneficiare să reducă emisiile de gaze cu efect de seră în sectoare-cheie și să devină neutre din punct de vedere climatic. În plus, această injecție majoră de capital este disponibilă pentru a lansa proiecte care vor contribui la accelerarea tranziției noastre energetice ca răspuns la invadarea Ucrainei de către Rusia.”</w:t>
      </w:r>
    </w:p>
    <w:p w14:paraId="4E584669"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Vicepreședintele Băncii Europene de Investiții, Ambroise Fayolle, a declarat: </w:t>
      </w:r>
      <w:r w:rsidRPr="001361DF">
        <w:rPr>
          <w:rStyle w:val="Emphasis"/>
          <w:color w:val="404040"/>
        </w:rPr>
        <w:t>„Sprijinind țările UE cele mai afectate de tranziția energetică, Fondul pentru modernizare contribuie la finanțarea combaterii schimbărilor climatice acolo unde este cel mai necesar. În cadrul ultimului ciclu de plăți, Fondul a pus la dispoziție 2,4 miliarde EUR pentru sprijinirea a 45 de propuneri de investiții, cu scopul de a ajuta statele membre beneficiare să își modernizeze sistemele energetice și să își îmbunătățească eficiența energetică. BEI, în calitate de bancă a UE pentru climă, își exprimă satisfacția de a lucra în parteneriat cu Comisia Europeană și cu statele membre pentru a pune în aplicare Fondul pentru modernizare, un instrument-cheie în accelerarea tranziției UE către o energie curată și în sprijinirea implementării strategiei RePowerEU recent lansate.” </w:t>
      </w:r>
    </w:p>
    <w:p w14:paraId="2B9211B2"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lastRenderedPageBreak/>
        <w:t>Fondul pentru modernizare sprijină 45 de propuneri de investiții în următoarele domenii: </w:t>
      </w:r>
      <w:r w:rsidRPr="001361DF">
        <w:rPr>
          <w:rStyle w:val="Strong"/>
          <w:color w:val="404040"/>
        </w:rPr>
        <w:t>producția de energie electrică</w:t>
      </w:r>
      <w:r w:rsidRPr="001361DF">
        <w:rPr>
          <w:rFonts w:ascii="Verdana" w:hAnsi="Verdana"/>
          <w:color w:val="404040"/>
          <w:sz w:val="18"/>
          <w:szCs w:val="18"/>
        </w:rPr>
        <w:t> din </w:t>
      </w:r>
      <w:r w:rsidRPr="001361DF">
        <w:rPr>
          <w:rStyle w:val="Strong"/>
          <w:color w:val="404040"/>
        </w:rPr>
        <w:t>surse regenerabile</w:t>
      </w:r>
      <w:r w:rsidRPr="001361DF">
        <w:rPr>
          <w:rFonts w:ascii="Verdana" w:hAnsi="Verdana"/>
          <w:color w:val="404040"/>
          <w:sz w:val="18"/>
          <w:szCs w:val="18"/>
        </w:rPr>
        <w:t>, </w:t>
      </w:r>
      <w:r w:rsidRPr="001361DF">
        <w:rPr>
          <w:rStyle w:val="Strong"/>
          <w:color w:val="404040"/>
        </w:rPr>
        <w:t>modernizarea rețelelor energetice</w:t>
      </w:r>
      <w:r w:rsidRPr="001361DF">
        <w:rPr>
          <w:rFonts w:ascii="Verdana" w:hAnsi="Verdana"/>
          <w:color w:val="404040"/>
          <w:sz w:val="18"/>
          <w:szCs w:val="18"/>
        </w:rPr>
        <w:t> și </w:t>
      </w:r>
      <w:r w:rsidRPr="001361DF">
        <w:rPr>
          <w:rStyle w:val="Strong"/>
          <w:color w:val="404040"/>
        </w:rPr>
        <w:t>eficiența energetică</w:t>
      </w:r>
      <w:r w:rsidRPr="001361DF">
        <w:rPr>
          <w:rFonts w:ascii="Verdana" w:hAnsi="Verdana"/>
          <w:color w:val="404040"/>
          <w:sz w:val="18"/>
          <w:szCs w:val="18"/>
        </w:rPr>
        <w:t> în sectorul energetic, în industrie, în clădiri și în transporturi, și </w:t>
      </w:r>
      <w:r w:rsidRPr="001361DF">
        <w:rPr>
          <w:rStyle w:val="Strong"/>
          <w:color w:val="404040"/>
        </w:rPr>
        <w:t>înlocuirea producției de cărbune</w:t>
      </w:r>
      <w:r w:rsidRPr="001361DF">
        <w:rPr>
          <w:rFonts w:ascii="Verdana" w:hAnsi="Verdana"/>
          <w:color w:val="404040"/>
          <w:sz w:val="18"/>
          <w:szCs w:val="18"/>
        </w:rPr>
        <w:t> cu </w:t>
      </w:r>
      <w:r w:rsidRPr="001361DF">
        <w:rPr>
          <w:rStyle w:val="Strong"/>
          <w:color w:val="404040"/>
        </w:rPr>
        <w:t>combustibili cu intensitate scăzută a emisiilor de carbon</w:t>
      </w:r>
      <w:r w:rsidRPr="001361DF">
        <w:rPr>
          <w:rFonts w:ascii="Verdana" w:hAnsi="Verdana"/>
          <w:color w:val="404040"/>
          <w:sz w:val="18"/>
          <w:szCs w:val="18"/>
        </w:rPr>
        <w:t>. Exemple de investiții sprijinite de fond sunt:</w:t>
      </w:r>
    </w:p>
    <w:p w14:paraId="1DBDB48E" w14:textId="77777777" w:rsidR="001C4328" w:rsidRPr="001361DF" w:rsidRDefault="001C4328" w:rsidP="00CF784D">
      <w:pPr>
        <w:numPr>
          <w:ilvl w:val="0"/>
          <w:numId w:val="4"/>
        </w:numPr>
        <w:ind w:left="0" w:firstLine="0"/>
        <w:jc w:val="both"/>
        <w:rPr>
          <w:color w:val="404040"/>
          <w:szCs w:val="18"/>
        </w:rPr>
      </w:pPr>
      <w:r w:rsidRPr="001361DF">
        <w:rPr>
          <w:color w:val="404040"/>
          <w:szCs w:val="18"/>
        </w:rPr>
        <w:t>modernizarea sistemelor de iluminat public din cadrul municipalităților, conversia cărbunelui în biomasă și gaz în instalațiile de termoficare și în instalațiile ETS, precum și creșterea eficienței energetice în Cehia;</w:t>
      </w:r>
    </w:p>
    <w:p w14:paraId="11C46BBA" w14:textId="77777777" w:rsidR="001C4328" w:rsidRPr="001361DF" w:rsidRDefault="001C4328" w:rsidP="00CF784D">
      <w:pPr>
        <w:numPr>
          <w:ilvl w:val="0"/>
          <w:numId w:val="4"/>
        </w:numPr>
        <w:ind w:left="0" w:firstLine="0"/>
        <w:jc w:val="both"/>
        <w:rPr>
          <w:color w:val="404040"/>
          <w:szCs w:val="18"/>
        </w:rPr>
      </w:pPr>
      <w:r w:rsidRPr="001361DF">
        <w:rPr>
          <w:color w:val="404040"/>
          <w:szCs w:val="18"/>
        </w:rPr>
        <w:t>producția de electricitate din surse regenerabile de energie în Croația;</w:t>
      </w:r>
    </w:p>
    <w:p w14:paraId="376584A1" w14:textId="77777777" w:rsidR="001C4328" w:rsidRPr="001361DF" w:rsidRDefault="001C4328" w:rsidP="00CF784D">
      <w:pPr>
        <w:numPr>
          <w:ilvl w:val="0"/>
          <w:numId w:val="4"/>
        </w:numPr>
        <w:ind w:left="0" w:firstLine="0"/>
        <w:jc w:val="both"/>
        <w:rPr>
          <w:color w:val="404040"/>
          <w:szCs w:val="18"/>
        </w:rPr>
      </w:pPr>
      <w:r w:rsidRPr="001361DF">
        <w:rPr>
          <w:color w:val="404040"/>
          <w:szCs w:val="18"/>
        </w:rPr>
        <w:t>renovarea clădirilor publice și creșterea eficienței energetice în Lituania;</w:t>
      </w:r>
    </w:p>
    <w:p w14:paraId="4C9DE7F5" w14:textId="77777777" w:rsidR="001C4328" w:rsidRPr="001361DF" w:rsidRDefault="001C4328" w:rsidP="00CF784D">
      <w:pPr>
        <w:numPr>
          <w:ilvl w:val="0"/>
          <w:numId w:val="4"/>
        </w:numPr>
        <w:ind w:left="0" w:firstLine="0"/>
        <w:jc w:val="both"/>
        <w:rPr>
          <w:color w:val="404040"/>
          <w:szCs w:val="18"/>
        </w:rPr>
      </w:pPr>
      <w:r w:rsidRPr="001361DF">
        <w:rPr>
          <w:color w:val="404040"/>
          <w:szCs w:val="18"/>
        </w:rPr>
        <w:t>construirea a opt parcuri fotovoltaice și a două turbine cu gaz cu ciclu combinat, care vor înlocui lignitul cu surse regenerabile de energie și gaz pentru generarea de energie electrică și modernizarea rețelelor de energie electrică în România;</w:t>
      </w:r>
    </w:p>
    <w:p w14:paraId="60D8892E" w14:textId="77777777" w:rsidR="001C4328" w:rsidRPr="001361DF" w:rsidRDefault="001C4328" w:rsidP="00CF784D">
      <w:pPr>
        <w:numPr>
          <w:ilvl w:val="0"/>
          <w:numId w:val="4"/>
        </w:numPr>
        <w:ind w:left="0" w:firstLine="0"/>
        <w:jc w:val="both"/>
        <w:rPr>
          <w:color w:val="404040"/>
          <w:szCs w:val="18"/>
        </w:rPr>
      </w:pPr>
      <w:r w:rsidRPr="001361DF">
        <w:rPr>
          <w:color w:val="404040"/>
          <w:szCs w:val="18"/>
        </w:rPr>
        <w:t>îmbunătățirea eficienței energetice în industrie în Polonia;</w:t>
      </w:r>
    </w:p>
    <w:p w14:paraId="6E13881E" w14:textId="77777777" w:rsidR="001C4328" w:rsidRPr="001361DF" w:rsidRDefault="001C4328" w:rsidP="00CF784D">
      <w:pPr>
        <w:numPr>
          <w:ilvl w:val="0"/>
          <w:numId w:val="4"/>
        </w:numPr>
        <w:ind w:left="0" w:firstLine="0"/>
        <w:jc w:val="both"/>
        <w:rPr>
          <w:color w:val="404040"/>
          <w:szCs w:val="18"/>
        </w:rPr>
      </w:pPr>
      <w:r w:rsidRPr="001361DF">
        <w:rPr>
          <w:color w:val="404040"/>
          <w:szCs w:val="18"/>
        </w:rPr>
        <w:t>tranșele de stocare a energiei pentru securitatea rețelei în Ungaria;</w:t>
      </w:r>
    </w:p>
    <w:p w14:paraId="7E59E201" w14:textId="77777777" w:rsidR="001C4328" w:rsidRPr="001361DF" w:rsidRDefault="001C4328" w:rsidP="00CF784D">
      <w:pPr>
        <w:numPr>
          <w:ilvl w:val="0"/>
          <w:numId w:val="4"/>
        </w:numPr>
        <w:ind w:left="0" w:firstLine="0"/>
        <w:jc w:val="both"/>
        <w:rPr>
          <w:color w:val="404040"/>
          <w:szCs w:val="18"/>
        </w:rPr>
      </w:pPr>
      <w:r w:rsidRPr="001361DF">
        <w:rPr>
          <w:color w:val="404040"/>
          <w:szCs w:val="18"/>
        </w:rPr>
        <w:t>reabilitarea și extinderea rețelelor de termoficare și răcire centralizată în Slovacia.</w:t>
      </w:r>
    </w:p>
    <w:p w14:paraId="59402AFC"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Termenul-limită până la care statele membre beneficiare trebuie să depună propuneri de investiții pentru a obține sprijin din partea Fondului pentru modernizare în cadrul următorului ciclu de plăți este </w:t>
      </w:r>
      <w:r w:rsidRPr="001361DF">
        <w:rPr>
          <w:rStyle w:val="Strong"/>
          <w:color w:val="404040"/>
        </w:rPr>
        <w:t>16 august 2022</w:t>
      </w:r>
      <w:r w:rsidRPr="001361DF">
        <w:rPr>
          <w:rFonts w:ascii="Verdana" w:hAnsi="Verdana"/>
          <w:color w:val="404040"/>
          <w:sz w:val="18"/>
          <w:szCs w:val="18"/>
        </w:rPr>
        <w:t> pentru </w:t>
      </w:r>
      <w:r w:rsidRPr="001361DF">
        <w:rPr>
          <w:rStyle w:val="Strong"/>
          <w:color w:val="404040"/>
        </w:rPr>
        <w:t>propuneri neprioritare</w:t>
      </w:r>
      <w:r w:rsidRPr="001361DF">
        <w:rPr>
          <w:rFonts w:ascii="Verdana" w:hAnsi="Verdana"/>
          <w:color w:val="404040"/>
          <w:sz w:val="18"/>
          <w:szCs w:val="18"/>
        </w:rPr>
        <w:t> (investiții care nu intră în domeniile de prioritate ale fondului) și </w:t>
      </w:r>
      <w:r w:rsidRPr="001361DF">
        <w:rPr>
          <w:rStyle w:val="Strong"/>
          <w:color w:val="404040"/>
        </w:rPr>
        <w:t>13 septembrie 2022</w:t>
      </w:r>
      <w:r w:rsidRPr="001361DF">
        <w:rPr>
          <w:rFonts w:ascii="Verdana" w:hAnsi="Verdana"/>
          <w:color w:val="404040"/>
          <w:sz w:val="18"/>
          <w:szCs w:val="18"/>
        </w:rPr>
        <w:t> pentru </w:t>
      </w:r>
      <w:hyperlink r:id="rId82" w:history="1">
        <w:r w:rsidRPr="001361DF">
          <w:rPr>
            <w:rStyle w:val="Strong"/>
            <w:rFonts w:cs="Arial"/>
            <w:color w:val="004494"/>
            <w:u w:val="single"/>
          </w:rPr>
          <w:t>propuneri prioritare</w:t>
        </w:r>
      </w:hyperlink>
      <w:r w:rsidRPr="001361DF">
        <w:rPr>
          <w:rFonts w:ascii="Verdana" w:hAnsi="Verdana"/>
          <w:color w:val="404040"/>
          <w:sz w:val="18"/>
          <w:szCs w:val="18"/>
        </w:rPr>
        <w:t> (investiții care intră în domeniile prioritare).</w:t>
      </w:r>
    </w:p>
    <w:p w14:paraId="0DBDF1AC"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Context</w:t>
      </w:r>
    </w:p>
    <w:p w14:paraId="4AED0B15"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Finanțat din veniturile obținute în urma licitării certificatelor de emisii din sistemul UE de comercializare a certificatelor de emisii, </w:t>
      </w:r>
      <w:hyperlink r:id="rId83" w:history="1">
        <w:r w:rsidRPr="001361DF">
          <w:rPr>
            <w:rStyle w:val="Hyperlink"/>
            <w:rFonts w:cs="Arial"/>
            <w:color w:val="004494"/>
          </w:rPr>
          <w:t>Fondul pentru modernizare</w:t>
        </w:r>
      </w:hyperlink>
      <w:r w:rsidRPr="001361DF">
        <w:rPr>
          <w:rFonts w:ascii="Verdana" w:hAnsi="Verdana"/>
          <w:color w:val="404040"/>
          <w:sz w:val="18"/>
          <w:szCs w:val="18"/>
        </w:rPr>
        <w:t> urmărește să sprijine zece țări din UE cu venituri mai mici în tranziția lor către neutralitatea climatică, modernizându-le sectorul energetic și sistemele energetice în sens mai larg, sporind eficiența energetică și facilitând o tranziție echitabilă. Țările beneficiare sunt Bulgaria, Cehia, Croația, Estonia, Letonia, Lituania, Polonia, România, Slovacia și Ungaria.</w:t>
      </w:r>
    </w:p>
    <w:p w14:paraId="02CEF5EE"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Fondul pentru modernizare sprijină investițiile în producerea și utilizarea energiei electrice din surse regenerabile, eficiența energetică, stocarea energiei, modernizarea rețelelor energetice, inclusiv încălzirea centralizată, conductele și rețelele, precum și tranziția justă în regiunile dependente de carbon.</w:t>
      </w:r>
    </w:p>
    <w:p w14:paraId="58BD6202" w14:textId="254C48B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primul an de funcționare, Fondul pentru modernizare a pus la dispoziție </w:t>
      </w:r>
      <w:hyperlink r:id="rId84" w:history="1">
        <w:r w:rsidRPr="001361DF">
          <w:rPr>
            <w:rStyle w:val="Hyperlink"/>
            <w:rFonts w:cs="Arial"/>
            <w:color w:val="004494"/>
          </w:rPr>
          <w:t>898,43 milioane EUR pentru opt țări beneficiare</w:t>
        </w:r>
      </w:hyperlink>
      <w:hyperlink r:id="rId85" w:history="1"/>
      <w:r w:rsidRPr="001361DF">
        <w:rPr>
          <w:rFonts w:ascii="Verdana" w:hAnsi="Verdana"/>
          <w:color w:val="404040"/>
          <w:sz w:val="18"/>
          <w:szCs w:val="18"/>
        </w:rPr>
        <w:t> pentru a contribui la modernizarea sistemelor lor energetice, pentru a reduce emisiile de gaze cu efect de seră în sectorul energetic, industrial, al transporturilor și al agriculturii și pentru a le sprijini să își îndeplinească obiectivele în materie de climă și energie pentru 2030.</w:t>
      </w:r>
    </w:p>
    <w:p w14:paraId="7465C98E" w14:textId="0A4B8CB1"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Fondul pentru modernizare completează alte instrumente de finanțare europene, cum ar fi </w:t>
      </w:r>
      <w:hyperlink r:id="rId86" w:history="1">
        <w:r w:rsidRPr="001361DF">
          <w:rPr>
            <w:rStyle w:val="Hyperlink"/>
            <w:rFonts w:cs="Arial"/>
            <w:color w:val="004494"/>
          </w:rPr>
          <w:t>politica de coeziune</w:t>
        </w:r>
      </w:hyperlink>
      <w:hyperlink r:id="rId87" w:history="1"/>
      <w:r w:rsidRPr="001361DF">
        <w:rPr>
          <w:rFonts w:ascii="Verdana" w:hAnsi="Verdana"/>
          <w:color w:val="404040"/>
          <w:sz w:val="18"/>
          <w:szCs w:val="18"/>
        </w:rPr>
        <w:t> și </w:t>
      </w:r>
      <w:hyperlink r:id="rId88" w:history="1">
        <w:r w:rsidRPr="001361DF">
          <w:rPr>
            <w:rStyle w:val="Hyperlink"/>
            <w:rFonts w:cs="Arial"/>
            <w:color w:val="004494"/>
          </w:rPr>
          <w:t>Fondul pentru o tranziție justă</w:t>
        </w:r>
      </w:hyperlink>
      <w:hyperlink r:id="rId89" w:history="1"/>
      <w:r w:rsidRPr="001361DF">
        <w:rPr>
          <w:rFonts w:ascii="Verdana" w:hAnsi="Verdana"/>
          <w:color w:val="404040"/>
          <w:sz w:val="18"/>
          <w:szCs w:val="18"/>
        </w:rPr>
        <w:t>. Fondul mobilizează resurse semnificative, care pot ajuta statele membre beneficiare să sprijine investițiile în conformitate cu </w:t>
      </w:r>
      <w:hyperlink r:id="rId90" w:history="1">
        <w:r w:rsidRPr="001361DF">
          <w:rPr>
            <w:rStyle w:val="Hyperlink"/>
            <w:rFonts w:cs="Arial"/>
            <w:color w:val="004494"/>
          </w:rPr>
          <w:t>Planul REPowerEU</w:t>
        </w:r>
      </w:hyperlink>
      <w:hyperlink r:id="rId91" w:history="1"/>
      <w:r w:rsidRPr="001361DF">
        <w:rPr>
          <w:rFonts w:ascii="Verdana" w:hAnsi="Verdana"/>
          <w:color w:val="404040"/>
          <w:sz w:val="18"/>
          <w:szCs w:val="18"/>
        </w:rPr>
        <w:t> și cu pachetul </w:t>
      </w:r>
      <w:hyperlink r:id="rId92" w:history="1">
        <w:r w:rsidRPr="001361DF">
          <w:rPr>
            <w:rStyle w:val="Hyperlink"/>
            <w:rFonts w:cs="Arial"/>
            <w:color w:val="004494"/>
          </w:rPr>
          <w:t>„Pregătiți pentru 55”</w:t>
        </w:r>
      </w:hyperlink>
      <w:hyperlink r:id="rId93" w:history="1"/>
      <w:r w:rsidRPr="001361DF">
        <w:rPr>
          <w:rFonts w:ascii="Verdana" w:hAnsi="Verdana"/>
          <w:color w:val="404040"/>
          <w:sz w:val="18"/>
          <w:szCs w:val="18"/>
        </w:rPr>
        <w:t>.</w:t>
      </w:r>
    </w:p>
    <w:p w14:paraId="7FF253D4"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Fondul funcționează sub responsabilitatea </w:t>
      </w:r>
      <w:hyperlink r:id="rId94" w:history="1">
        <w:r w:rsidRPr="001361DF">
          <w:rPr>
            <w:rStyle w:val="Hyperlink"/>
            <w:rFonts w:cs="Arial"/>
            <w:color w:val="004494"/>
          </w:rPr>
          <w:t>statelor sale membre beneficiare</w:t>
        </w:r>
      </w:hyperlink>
      <w:r w:rsidRPr="001361DF">
        <w:rPr>
          <w:rFonts w:ascii="Verdana" w:hAnsi="Verdana"/>
          <w:color w:val="404040"/>
          <w:sz w:val="18"/>
          <w:szCs w:val="18"/>
        </w:rPr>
        <w:t>, în strânsă cooperare cu </w:t>
      </w:r>
      <w:hyperlink r:id="rId95" w:history="1">
        <w:r w:rsidRPr="001361DF">
          <w:rPr>
            <w:rStyle w:val="Hyperlink"/>
            <w:rFonts w:cs="Arial"/>
            <w:color w:val="004494"/>
          </w:rPr>
          <w:t>Comisia Europeană</w:t>
        </w:r>
      </w:hyperlink>
      <w:r w:rsidRPr="001361DF">
        <w:rPr>
          <w:rFonts w:ascii="Verdana" w:hAnsi="Verdana"/>
          <w:color w:val="404040"/>
          <w:sz w:val="18"/>
          <w:szCs w:val="18"/>
        </w:rPr>
        <w:t> și cu </w:t>
      </w:r>
      <w:hyperlink r:id="rId96" w:history="1">
        <w:r w:rsidRPr="001361DF">
          <w:rPr>
            <w:rStyle w:val="Hyperlink"/>
            <w:rFonts w:cs="Arial"/>
            <w:color w:val="004494"/>
          </w:rPr>
          <w:t>Banca Europeană de Investiții</w:t>
        </w:r>
      </w:hyperlink>
      <w:r w:rsidRPr="001361DF">
        <w:rPr>
          <w:rFonts w:ascii="Verdana" w:hAnsi="Verdana"/>
          <w:color w:val="404040"/>
          <w:sz w:val="18"/>
          <w:szCs w:val="18"/>
        </w:rPr>
        <w:t> (BEI).</w:t>
      </w:r>
      <w:r w:rsidRPr="001361DF">
        <w:rPr>
          <w:rStyle w:val="Strong"/>
          <w:color w:val="404040"/>
        </w:rPr>
        <w:t> </w:t>
      </w:r>
    </w:p>
    <w:p w14:paraId="0E86E6FA"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Informații suplimentare </w:t>
      </w:r>
    </w:p>
    <w:p w14:paraId="6857BB24"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97" w:history="1">
        <w:r w:rsidR="001C4328" w:rsidRPr="001361DF">
          <w:rPr>
            <w:rStyle w:val="Hyperlink"/>
            <w:rFonts w:cs="Arial"/>
            <w:color w:val="004494"/>
          </w:rPr>
          <w:t>Site-ul web al Fondului pentru modernizare</w:t>
        </w:r>
      </w:hyperlink>
    </w:p>
    <w:p w14:paraId="08B3485F"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98" w:history="1">
        <w:r w:rsidR="001C4328" w:rsidRPr="001361DF">
          <w:rPr>
            <w:rStyle w:val="Hyperlink"/>
            <w:rFonts w:cs="Arial"/>
            <w:color w:val="004494"/>
          </w:rPr>
          <w:t>Decizii de plată adoptate</w:t>
        </w:r>
      </w:hyperlink>
    </w:p>
    <w:p w14:paraId="60EC1464"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99" w:history="1">
        <w:r w:rsidR="001C4328" w:rsidRPr="001361DF">
          <w:rPr>
            <w:rStyle w:val="Hyperlink"/>
            <w:rFonts w:cs="Arial"/>
            <w:color w:val="004494"/>
          </w:rPr>
          <w:t>Confirmări ale propunerilor prioritare</w:t>
        </w:r>
      </w:hyperlink>
    </w:p>
    <w:p w14:paraId="5BD71CCA"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100" w:history="1">
        <w:r w:rsidR="001C4328" w:rsidRPr="001361DF">
          <w:rPr>
            <w:rStyle w:val="Hyperlink"/>
            <w:rFonts w:cs="Arial"/>
            <w:color w:val="004494"/>
          </w:rPr>
          <w:t>Recomandări privind propunerile neprioritare</w:t>
        </w:r>
      </w:hyperlink>
    </w:p>
    <w:p w14:paraId="667850C4"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101" w:history="1">
        <w:r w:rsidR="001C4328" w:rsidRPr="001361DF">
          <w:rPr>
            <w:rStyle w:val="Hyperlink"/>
            <w:rFonts w:cs="Arial"/>
            <w:color w:val="004494"/>
          </w:rPr>
          <w:t>Lista propunerilor de investiții confirmate și recomandate</w:t>
        </w:r>
      </w:hyperlink>
    </w:p>
    <w:p w14:paraId="30BF51CF" w14:textId="0F611D33"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102" w:history="1">
        <w:r w:rsidR="001C4328" w:rsidRPr="001361DF">
          <w:rPr>
            <w:rStyle w:val="Hyperlink"/>
            <w:rFonts w:cs="Arial"/>
            <w:color w:val="004494"/>
          </w:rPr>
          <w:t>Îndeplinirea angajamentelor asumate în cadrul Pactului verde european</w:t>
        </w:r>
      </w:hyperlink>
      <w:hyperlink r:id="rId103" w:history="1"/>
    </w:p>
    <w:p w14:paraId="5ABAAB9A" w14:textId="69685267" w:rsidR="001C4328" w:rsidRPr="001361DF" w:rsidRDefault="001C4328" w:rsidP="00094459">
      <w:pPr>
        <w:pStyle w:val="separatorarticole"/>
      </w:pPr>
      <w:r w:rsidRPr="001361DF">
        <w:lastRenderedPageBreak/>
        <w:t>*</w:t>
      </w:r>
    </w:p>
    <w:p w14:paraId="0BD09442" w14:textId="77777777" w:rsidR="001C4328" w:rsidRPr="001361DF" w:rsidRDefault="001C4328" w:rsidP="00094459">
      <w:pPr>
        <w:pStyle w:val="TitluArticolinINFOUE"/>
        <w:rPr>
          <w:lang w:eastAsia="ro-RO"/>
        </w:rPr>
      </w:pPr>
      <w:bookmarkStart w:id="178" w:name="_Toc106112278"/>
      <w:r w:rsidRPr="001361DF">
        <w:t>Comisia salută acordul politic privind un încărcător comun în UE</w:t>
      </w:r>
      <w:bookmarkEnd w:id="178"/>
    </w:p>
    <w:p w14:paraId="5BD45B00" w14:textId="77777777" w:rsidR="001C4328" w:rsidRPr="001361DF" w:rsidRDefault="001C4328"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Comisia salută acordul politic provizoriu rapid la care au ajuns în această dimineață Parlamentul European și statele membre ale UE în legătură cu propunerea Comisiei privind o soluție comună de încărcare pentru dispozitivele electronice.</w:t>
      </w:r>
    </w:p>
    <w:p w14:paraId="20FA839C" w14:textId="68406A22"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5184" behindDoc="0" locked="0" layoutInCell="1" allowOverlap="1" wp14:anchorId="618547E7" wp14:editId="21C6F20C">
            <wp:simplePos x="0" y="0"/>
            <wp:positionH relativeFrom="column">
              <wp:posOffset>-1593</wp:posOffset>
            </wp:positionH>
            <wp:positionV relativeFrom="paragraph">
              <wp:posOffset>73924</wp:posOffset>
            </wp:positionV>
            <wp:extent cx="2156603" cy="1137361"/>
            <wp:effectExtent l="0" t="0" r="0" b="5715"/>
            <wp:wrapSquare wrapText="bothSides"/>
            <wp:docPr id="22" name="Picture 22" descr="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ger"/>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56603" cy="1137361"/>
                    </a:xfrm>
                    <a:prstGeom prst="rect">
                      <a:avLst/>
                    </a:prstGeom>
                    <a:noFill/>
                    <a:ln>
                      <a:noFill/>
                    </a:ln>
                  </pic:spPr>
                </pic:pic>
              </a:graphicData>
            </a:graphic>
          </wp:anchor>
        </w:drawing>
      </w:r>
      <w:r w:rsidRPr="001361DF">
        <w:rPr>
          <w:color w:val="404040"/>
          <w:szCs w:val="18"/>
        </w:rPr>
        <w:t>Începând din 2024, toate telefoanele mobile, tabletele, camerele digitale, consolele portabile de jocuri video, căștile audio, căștile cu microfon, difuzoarele portabile, cititoarele de cărți electronice, tastaturile, mouse-urile, sistemele portabile de navigație și căștile intraauriculare noi vor trebui să fie echipate cu un port de încărcare USB-C. Pentru laptop-uri, termenul este anul 2026.</w:t>
      </w:r>
    </w:p>
    <w:p w14:paraId="4597C3B9"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Valorificând puterea pieței unice, aceste norme noi și îndelung așteptate vor genera economii de resurse și de CO</w:t>
      </w:r>
      <w:r w:rsidRPr="001361DF">
        <w:rPr>
          <w:rFonts w:ascii="Verdana" w:hAnsi="Verdana"/>
          <w:color w:val="404040"/>
          <w:sz w:val="18"/>
          <w:szCs w:val="18"/>
          <w:vertAlign w:val="subscript"/>
        </w:rPr>
        <w:t>2</w:t>
      </w:r>
      <w:r w:rsidRPr="001361DF">
        <w:rPr>
          <w:rFonts w:ascii="Verdana" w:hAnsi="Verdana"/>
          <w:color w:val="404040"/>
          <w:sz w:val="18"/>
          <w:szCs w:val="18"/>
        </w:rPr>
        <w:t>, stimulând totodată inovarea tehnologică.</w:t>
      </w:r>
    </w:p>
    <w:p w14:paraId="6A3C780E"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Margrethe </w:t>
      </w:r>
      <w:r w:rsidRPr="001361DF">
        <w:rPr>
          <w:rStyle w:val="Strong"/>
          <w:color w:val="404040"/>
        </w:rPr>
        <w:t>Vestager</w:t>
      </w:r>
      <w:r w:rsidRPr="001361DF">
        <w:rPr>
          <w:rFonts w:ascii="Verdana" w:hAnsi="Verdana"/>
          <w:color w:val="404040"/>
          <w:sz w:val="18"/>
          <w:szCs w:val="18"/>
        </w:rPr>
        <w:t>, vicepreședinta executivă responsabilă cu „O Europă pregătită pentru era digitală”, a declarat: </w:t>
      </w:r>
      <w:r w:rsidRPr="001361DF">
        <w:rPr>
          <w:rStyle w:val="Emphasis"/>
          <w:color w:val="404040"/>
        </w:rPr>
        <w:t>„Învălmășeala de încărcătoare diferite din sertarele noastre va fi în curând de domeniul trecutului. Un încărcător comun reprezintă un avantaj real pentru noi, consumatorii, fiind benefic și pentru mediu. Salutăm așadar acordul privind încărcătorul comun la care s-a ajuns astăzi, în urma încheierii rapide a negocierilor dintre colegiuitori.”</w:t>
      </w:r>
    </w:p>
    <w:p w14:paraId="2CD6A7D9"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Thierry </w:t>
      </w:r>
      <w:r w:rsidRPr="001361DF">
        <w:rPr>
          <w:rStyle w:val="Strong"/>
          <w:color w:val="404040"/>
        </w:rPr>
        <w:t>Breton</w:t>
      </w:r>
      <w:r w:rsidRPr="001361DF">
        <w:rPr>
          <w:rFonts w:ascii="Verdana" w:hAnsi="Verdana"/>
          <w:color w:val="404040"/>
          <w:sz w:val="18"/>
          <w:szCs w:val="18"/>
        </w:rPr>
        <w:t>, comisarul pentru piața internă, a declarat: </w:t>
      </w:r>
      <w:r w:rsidRPr="001361DF">
        <w:rPr>
          <w:rStyle w:val="Emphasis"/>
          <w:color w:val="404040"/>
        </w:rPr>
        <w:t>„Un încărcător comun este o chestiune de bun-simț, având în vedere numeroasele dispozitive electronice pe care le utilizăm zilnic. Datorită angajamentului nostru politic ferm, am ajuns la un acord în mai puțin de 9 luni. Consumatorii europeni vor putea utiliza un singur încărcător pentru toate dispozitivele lor electronice portabile, ceea ce reprezintă un pas important în direcția sporirii confortului și a reducerii deșeurilor. Acordul încheiat în această dimineață va genera economii de aproximativ 250 de milioane EUR pe an pentru consumatori și va permite totodată apariția și maturizarea unor noi tehnologii, precum încărcarea fără fir, fără ca inovarea să devină o sursă de fragmentare a pieței și de disconfort pentru consumatori.”</w:t>
      </w:r>
    </w:p>
    <w:p w14:paraId="41F205DA"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Acordul la care au ajuns astăzi colegiuitorii confirmă și completează propunerea Comisiei:</w:t>
      </w:r>
    </w:p>
    <w:p w14:paraId="7CD743C0"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w:t>
      </w:r>
      <w:r w:rsidRPr="001361DF">
        <w:rPr>
          <w:rStyle w:val="Strong"/>
          <w:color w:val="404040"/>
        </w:rPr>
        <w:t>Portul de încărcare și tehnologia de încărcare rapidă vor fi armonizate:</w:t>
      </w:r>
      <w:r w:rsidRPr="001361DF">
        <w:rPr>
          <w:rFonts w:ascii="Verdana" w:hAnsi="Verdana"/>
          <w:color w:val="404040"/>
          <w:sz w:val="18"/>
          <w:szCs w:val="18"/>
        </w:rPr>
        <w:t> în primul rând, portul USB-C va deveni portul comun, ceea ce le va permite consumatorilor să-și încarce dispozitivele cu același încărcător cu port USB-C, indiferent de marca dispozitivului. În același timp, armonizarea tehnologiei de încărcare rapidă va contribui la evitarea practicii utilizate de diverși producători de a limita în mod nejustificat viteza de încărcare și la asigurarea faptului că această viteză este aceeași indiferent de încărcătorul utilizat, dacă acesta este compatibil cu dispozitivul. Aceste norme se vor aplica de acum înainte dispozitivelor electronice menționate anterior. În viitor, această listă ar putea fi completată și cu alte dispozitive, pe baza unei evaluări periodice a pieței efectuate de către Comisie.</w:t>
      </w:r>
    </w:p>
    <w:p w14:paraId="694F087F"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w:t>
      </w:r>
      <w:r w:rsidRPr="001361DF">
        <w:rPr>
          <w:rStyle w:val="Strong"/>
          <w:color w:val="404040"/>
        </w:rPr>
        <w:t>Separarea vânzării unui încărcător de vânzarea dispozitivului electronic:</w:t>
      </w:r>
      <w:r w:rsidRPr="001361DF">
        <w:rPr>
          <w:rFonts w:ascii="Verdana" w:hAnsi="Verdana"/>
          <w:color w:val="404040"/>
          <w:sz w:val="18"/>
          <w:szCs w:val="18"/>
        </w:rPr>
        <w:t> consumatorii vor putea cumpăra un dispozitiv electronic nou fără a fi nevoiți să cumpere și un încărcător nou, ceea ce va limita acumularea de încărcătoare nedorite sau neutilizate. Rezultatele obținute și eventuala extindere a măsurii pentru a include și cablurile vor fi evaluate în cursul punerii în aplicare.</w:t>
      </w:r>
    </w:p>
    <w:p w14:paraId="1805D1C5"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w:t>
      </w:r>
      <w:r w:rsidRPr="001361DF">
        <w:rPr>
          <w:rStyle w:val="Strong"/>
          <w:color w:val="404040"/>
        </w:rPr>
        <w:t>O mai bună informare a consumatorilor:</w:t>
      </w:r>
      <w:r w:rsidRPr="001361DF">
        <w:rPr>
          <w:rFonts w:ascii="Verdana" w:hAnsi="Verdana"/>
          <w:color w:val="404040"/>
          <w:sz w:val="18"/>
          <w:szCs w:val="18"/>
        </w:rPr>
        <w:t> producătorii vor trebui să furnizeze informații relevante cu privire la performanța de încărcare, inclusiv informații privind puterea necesară pentru încărcarea dispozitivului și dacă acesta permite încărcarea rapidă. Astfel, consumatorilor le va fi mai ușor să afle dacă încărcătoarele de care dispun îndeplinesc cerințele noului lor dispozitiv sau să aleagă un încărcător compatibil.</w:t>
      </w:r>
    </w:p>
    <w:p w14:paraId="324D400B"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w:t>
      </w:r>
      <w:r w:rsidRPr="001361DF">
        <w:rPr>
          <w:rStyle w:val="Strong"/>
          <w:color w:val="404040"/>
        </w:rPr>
        <w:t>Demersuri în vederea armonizării soluțiilor de încărcare fără fir:</w:t>
      </w:r>
      <w:r w:rsidRPr="001361DF">
        <w:rPr>
          <w:rFonts w:ascii="Verdana" w:hAnsi="Verdana"/>
          <w:color w:val="404040"/>
          <w:sz w:val="18"/>
          <w:szCs w:val="18"/>
        </w:rPr>
        <w:t> având în vedere evoluția rapidă a tehnologiei și pentru a limita o posibilă fragmentare a pieței în viitor, Comisia va evalua diferitele tehnologii disponibile în vederea unei eventuale armonizări viitoare și va solicita organizațiilor europene de standardizare să transpună soluția corespunzătoare într-un standard armonizat. </w:t>
      </w:r>
    </w:p>
    <w:p w14:paraId="589EB8CA"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xml:space="preserve">Acordul la care s-a ajuns astăzi garantează, de asemenea, posibilitatea de a implementa fără întârziere soluțiile de încărcare comune, având în vedere mai ales faptul că sunt disponibile foarte multe soluții </w:t>
      </w:r>
      <w:r w:rsidRPr="001361DF">
        <w:rPr>
          <w:rFonts w:ascii="Verdana" w:hAnsi="Verdana"/>
          <w:color w:val="404040"/>
          <w:sz w:val="18"/>
          <w:szCs w:val="18"/>
        </w:rPr>
        <w:lastRenderedPageBreak/>
        <w:t>tehnologice și că industria de profil a dispus de suficient timp pentru a se adapta. Prin urmare, se stabilește o perioadă de tranziție de 24 de luni de la adoptarea oficială pentru a pune încărcătorul comun la dispoziția tuturor, pentru toate categoriile de produse vizate - cu excepția laptop-urilor, care vor beneficia de o perioadă de tranziție de 40 de luni.</w:t>
      </w:r>
    </w:p>
    <w:p w14:paraId="5C241292"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Context</w:t>
      </w:r>
    </w:p>
    <w:p w14:paraId="6EE9482C"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2020, în UE au fost vândute aproximativ 420 de milioane de telefoane mobile și alte dispozitive electronice portabile. Cu toate acestea, din cauza incompatibilității încărcătoarelor de pe piață, peste o treime dintre consumatori declară că s-au confruntat cu probleme, deși cheltuiesc anual aproximativ 2,4 miliarde EUR pe încărcătoare autonome suplimentare. În același timp, încărcătoarele eliminate sau neutilizate reprezintă aproximativ 11 000 de tone de deșeuri electronice pe an.</w:t>
      </w:r>
    </w:p>
    <w:p w14:paraId="0682B7B9"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Comisia a promovat încă din 2009 implementarea unei soluții de încărcare comune pentru telefoanele mobile și pentru alte dispozitive electronice similare. Deși, după ani de colaborare cu industria pe baza unei abordări voluntare, numărul încărcătoarelor de telefoane mobile a fost redus de la 30 la 3 în ultimul deceniu, această abordare nu a permis realizarea armonizării depline. Până acum nu a existat niciun temei juridic care să permită încadrarea practicii de separare a încărcătoarelor. Având în vedere beneficiile ecologice semnificative ale acesteia, este important să se completeze armonizarea receptaculul de încărcare. În plus, armonizarea protocolului de încărcare asigură faptul că ambele dispoziții garantează deplina interoperativitate și aduc cele mai mari beneficii pentru consumatori și pentru mediu. Aceste beneficii vor fi amplificate de extinderea listei de categorii de produse vizate. În ceea ce privește încărcarea fără fir, Comisia va monitoriza evoluția tehnologiilor și dinamica pieței în scopul introducerii unei eventuale armonizări în viitor. </w:t>
      </w:r>
    </w:p>
    <w:p w14:paraId="5FCEF1DF"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Pentru informații suplimentare</w:t>
      </w:r>
    </w:p>
    <w:p w14:paraId="2121E4A9" w14:textId="1BA9D82A"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105" w:history="1">
        <w:r w:rsidR="001C4328" w:rsidRPr="001361DF">
          <w:rPr>
            <w:rStyle w:val="Hyperlink"/>
            <w:rFonts w:cs="Arial"/>
            <w:color w:val="004494"/>
          </w:rPr>
          <w:t>Comunicat de presă referitor la propunerea Comisiei privind o soluție comună de încărcare pentru dispozitivele electronice</w:t>
        </w:r>
      </w:hyperlink>
      <w:hyperlink r:id="rId106" w:history="1"/>
    </w:p>
    <w:p w14:paraId="2C4DE968" w14:textId="77777777" w:rsidR="001C4328" w:rsidRPr="001361DF" w:rsidRDefault="00306065" w:rsidP="00094459">
      <w:pPr>
        <w:pStyle w:val="NormalWeb"/>
        <w:spacing w:before="120" w:beforeAutospacing="0" w:after="0" w:afterAutospacing="0"/>
        <w:jc w:val="both"/>
        <w:rPr>
          <w:rFonts w:ascii="Verdana" w:hAnsi="Verdana"/>
          <w:color w:val="404040"/>
          <w:sz w:val="18"/>
          <w:szCs w:val="18"/>
        </w:rPr>
      </w:pPr>
      <w:hyperlink r:id="rId107" w:history="1">
        <w:r w:rsidR="001C4328" w:rsidRPr="001361DF">
          <w:rPr>
            <w:rStyle w:val="Hyperlink"/>
            <w:rFonts w:cs="Arial"/>
            <w:color w:val="004494"/>
          </w:rPr>
          <w:t>Fișă informativă referitoare la propunerea Comisiei privind o soluție comună de încărcare pentru dispozitivele electronice</w:t>
        </w:r>
      </w:hyperlink>
    </w:p>
    <w:p w14:paraId="44001598"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Urmăriți </w:t>
      </w:r>
      <w:hyperlink r:id="rId108" w:history="1">
        <w:r w:rsidRPr="001361DF">
          <w:rPr>
            <w:rStyle w:val="Hyperlink"/>
            <w:rFonts w:cs="Arial"/>
            <w:color w:val="004494"/>
          </w:rPr>
          <w:t>@EU_Growth</w:t>
        </w:r>
      </w:hyperlink>
      <w:r w:rsidRPr="001361DF">
        <w:rPr>
          <w:rFonts w:ascii="Verdana" w:hAnsi="Verdana"/>
          <w:color w:val="404040"/>
          <w:sz w:val="18"/>
          <w:szCs w:val="18"/>
        </w:rPr>
        <w:t> pe Twitter</w:t>
      </w:r>
    </w:p>
    <w:p w14:paraId="3F563627" w14:textId="0A9AB79A" w:rsidR="001C4328" w:rsidRPr="001361DF" w:rsidRDefault="001C4328" w:rsidP="00094459">
      <w:pPr>
        <w:pStyle w:val="separatorarticole"/>
      </w:pPr>
      <w:r w:rsidRPr="001361DF">
        <w:t>*</w:t>
      </w:r>
    </w:p>
    <w:p w14:paraId="4C9A83C5" w14:textId="77777777" w:rsidR="001C4328" w:rsidRPr="001361DF" w:rsidRDefault="001C4328" w:rsidP="00094459">
      <w:pPr>
        <w:pStyle w:val="TitluArticolinINFOUE"/>
        <w:rPr>
          <w:lang w:eastAsia="ro-RO"/>
        </w:rPr>
      </w:pPr>
      <w:bookmarkStart w:id="179" w:name="_Toc106112279"/>
      <w:r w:rsidRPr="001361DF">
        <w:t>Ajutor de stat: Comisia aprobă o schemă românească în valoare de 605 milioane EUR pentru sprijinirea IMM-urilor care își desfășoară activitatea în sectorul construcțiilor</w:t>
      </w:r>
      <w:bookmarkEnd w:id="179"/>
    </w:p>
    <w:p w14:paraId="5EBDEA0A" w14:textId="77777777" w:rsidR="001C4328" w:rsidRPr="001361DF" w:rsidRDefault="001C4328" w:rsidP="00D93CBD">
      <w:pPr>
        <w:pStyle w:val="ecl-page-header-standardiseddescription"/>
        <w:spacing w:before="120" w:beforeAutospacing="0" w:after="0" w:afterAutospacing="0"/>
        <w:rPr>
          <w:rFonts w:ascii="Verdana" w:hAnsi="Verdana" w:cs="Arial"/>
          <w:color w:val="404040"/>
          <w:sz w:val="18"/>
          <w:szCs w:val="18"/>
        </w:rPr>
      </w:pPr>
      <w:r w:rsidRPr="001361DF">
        <w:rPr>
          <w:rFonts w:ascii="Verdana" w:hAnsi="Verdana" w:cs="Arial"/>
          <w:color w:val="404040"/>
          <w:sz w:val="18"/>
          <w:szCs w:val="18"/>
        </w:rPr>
        <w:t>Ajutor de stat: Comisia aprobă o schemă românească în valoare de 605 milioane EUR pentru sprijinirea IMM-urilor care își desfășoară activitatea în sectorul construcțiilor, afectate de pandemia de coronavirus</w:t>
      </w:r>
    </w:p>
    <w:p w14:paraId="441B8C92" w14:textId="41E976F7"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6208" behindDoc="0" locked="0" layoutInCell="1" allowOverlap="1" wp14:anchorId="3AA26EE1" wp14:editId="1DD27146">
            <wp:simplePos x="0" y="0"/>
            <wp:positionH relativeFrom="column">
              <wp:posOffset>-1593</wp:posOffset>
            </wp:positionH>
            <wp:positionV relativeFrom="paragraph">
              <wp:posOffset>72414</wp:posOffset>
            </wp:positionV>
            <wp:extent cx="2061713" cy="1379469"/>
            <wp:effectExtent l="0" t="0" r="0" b="0"/>
            <wp:wrapSquare wrapText="bothSides"/>
            <wp:docPr id="23" name="Picture 23" descr=" StateA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StateAidRO"/>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061713" cy="1379469"/>
                    </a:xfrm>
                    <a:prstGeom prst="rect">
                      <a:avLst/>
                    </a:prstGeom>
                    <a:noFill/>
                    <a:ln>
                      <a:noFill/>
                    </a:ln>
                  </pic:spPr>
                </pic:pic>
              </a:graphicData>
            </a:graphic>
          </wp:anchor>
        </w:drawing>
      </w:r>
      <w:r w:rsidRPr="001361DF">
        <w:rPr>
          <w:color w:val="404040"/>
          <w:szCs w:val="18"/>
        </w:rPr>
        <w:t>Comisia Europeană a aprobat o schemă românească în valoare de 605 milioane EUR (aproape 3 miliarde RON), menită să sprijine întreprinderile mici și mijlocii care își desfășoară activitatea în sectorul construcțiilor și care sunt afectate de pandemia de coronavirus. Schema va sprijini, de asemenea, proiectele de construcții la scară mică ale unităților administrative teritoriale. Schema a fost aprobată în temeiul </w:t>
      </w:r>
      <w:hyperlink r:id="rId110" w:history="1">
        <w:r w:rsidRPr="001361DF">
          <w:rPr>
            <w:rStyle w:val="Hyperlink"/>
            <w:rFonts w:cs="Arial"/>
            <w:color w:val="004494"/>
          </w:rPr>
          <w:t>Cadrului temporar pentru măsuri de ajutor de stat</w:t>
        </w:r>
      </w:hyperlink>
      <w:hyperlink r:id="rId111" w:history="1"/>
      <w:r w:rsidRPr="001361DF">
        <w:rPr>
          <w:color w:val="404040"/>
          <w:szCs w:val="18"/>
        </w:rPr>
        <w:t>.</w:t>
      </w:r>
    </w:p>
    <w:p w14:paraId="6FEC9A2C"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Măsura vizează (i) abordarea nevoilor de finanțare ale proiectelor cu scopul îmbunătățiri eficienței energetice; (ii) stimularea investițiilor în energia verde; și (iii) urmărirea obiectivelor de mediu. În cadrul schemei, sprijinul public va lua forma (i) unei garanții pentru investiții sau a unor împrumuturi pentru nevoile de capital circulant, care să acopere până la 90 % din împrumuturile acordate de instituțiile de creditare; și (ii) subvenții directe.</w:t>
      </w:r>
    </w:p>
    <w:p w14:paraId="62E381B8"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 xml:space="preserve">Valoarea nominală totală a garanțiilor va fi de aproximativ 505 milioane EUR, iar bugetul total alocat granturilor directe va fi de aproximativ 100 milioane EUR. Granturile directe vor acoperi, printre altele, anumite taxe legate de garanția de stat și o parte din dobânda împrumuturilor. Comisia a constatat că schema românească respectă condițiile prevăzute în cadrul temporar. În special, cu privire la ajutoarele sub formă de garanții pentru împrumuturi, (i) garanția se referă atât la împrumuturi pentru investiții, cât </w:t>
      </w:r>
      <w:r w:rsidRPr="001361DF">
        <w:rPr>
          <w:rFonts w:ascii="Verdana" w:hAnsi="Verdana"/>
          <w:color w:val="404040"/>
          <w:sz w:val="18"/>
          <w:szCs w:val="18"/>
        </w:rPr>
        <w:lastRenderedPageBreak/>
        <w:t>și la împrumuturi pentru capital circulant; (ii) durata maximă a garanției este de 6 ani; și (iii) primele de garanție respectă nivelurile minime stabilite în cadrul temporar.</w:t>
      </w:r>
    </w:p>
    <w:p w14:paraId="4CF453DF"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ceea ce privește ajutoarele limitate sub formă de granturi directe, acestea nu vor depăși 2,3 milioane EUR per beneficiar. În cadrul ambelor măsuri, ajutorul va fi acordat cel târziu la 30 iunie 2022. 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măsura în temeiul normelor UE privind ajutoarele de stat. Mai multe informații cu privire la cadrul temporar și la alte acțiuni întreprinse de Comisie pentru a aborda impactul economic al pandemiei de coronavirus pot fi găsite </w:t>
      </w:r>
      <w:hyperlink r:id="rId112" w:history="1">
        <w:r w:rsidRPr="001361DF">
          <w:rPr>
            <w:rStyle w:val="Hyperlink"/>
            <w:rFonts w:cs="Arial"/>
            <w:color w:val="004494"/>
          </w:rPr>
          <w:t>aici</w:t>
        </w:r>
      </w:hyperlink>
      <w:r w:rsidRPr="001361DF">
        <w:rPr>
          <w:rFonts w:ascii="Verdana" w:hAnsi="Verdana"/>
          <w:color w:val="404040"/>
          <w:sz w:val="18"/>
          <w:szCs w:val="18"/>
        </w:rPr>
        <w:t>.</w:t>
      </w:r>
    </w:p>
    <w:p w14:paraId="54427EA8" w14:textId="3485C0F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Versiunea neconfidențială a deciziei va fi disponibilă cu numărul de caz SA.102830 în </w:t>
      </w:r>
      <w:hyperlink r:id="rId113" w:history="1">
        <w:r w:rsidRPr="001361DF">
          <w:rPr>
            <w:rStyle w:val="Hyperlink"/>
            <w:rFonts w:cs="Arial"/>
            <w:color w:val="004494"/>
          </w:rPr>
          <w:t>Registrul ajutoarelor de stat</w:t>
        </w:r>
      </w:hyperlink>
      <w:r w:rsidRPr="001361DF">
        <w:rPr>
          <w:rFonts w:ascii="Verdana" w:hAnsi="Verdana"/>
          <w:color w:val="404040"/>
          <w:sz w:val="18"/>
          <w:szCs w:val="18"/>
        </w:rPr>
        <w:t>, pe site-ul web al Comisiei privind </w:t>
      </w:r>
      <w:hyperlink r:id="rId114" w:history="1">
        <w:r w:rsidRPr="001361DF">
          <w:rPr>
            <w:rStyle w:val="Hyperlink"/>
            <w:rFonts w:cs="Arial"/>
            <w:color w:val="004494"/>
          </w:rPr>
          <w:t>concurența</w:t>
        </w:r>
      </w:hyperlink>
      <w:hyperlink r:id="rId115" w:history="1"/>
      <w:r w:rsidRPr="001361DF">
        <w:rPr>
          <w:rFonts w:ascii="Verdana" w:hAnsi="Verdana"/>
          <w:color w:val="404040"/>
          <w:sz w:val="18"/>
          <w:szCs w:val="18"/>
        </w:rPr>
        <w:t>, de îndată ce vor fi fost soluționate eventualele probleme legate de confidențialitate.</w:t>
      </w:r>
    </w:p>
    <w:p w14:paraId="0B3EFDC9" w14:textId="320CB7DC" w:rsidR="001C4328" w:rsidRPr="001361DF" w:rsidRDefault="001C4328" w:rsidP="00094459">
      <w:pPr>
        <w:pStyle w:val="separatorarticole"/>
      </w:pPr>
      <w:r w:rsidRPr="001361DF">
        <w:t>*</w:t>
      </w:r>
    </w:p>
    <w:p w14:paraId="68B87096" w14:textId="77777777" w:rsidR="001C4328" w:rsidRPr="001361DF" w:rsidRDefault="001C4328" w:rsidP="00094459">
      <w:pPr>
        <w:pStyle w:val="TitluArticolinINFOUE"/>
        <w:rPr>
          <w:lang w:eastAsia="ro-RO"/>
        </w:rPr>
      </w:pPr>
      <w:bookmarkStart w:id="180" w:name="_Toc106112280"/>
      <w:r w:rsidRPr="001361DF">
        <w:t>Ajutoare de stat: Comisia aprobă o schemă românească în valoare de 606 milioane EUR pentru sprijinirea activității economice în zonele urbane și rurale mici</w:t>
      </w:r>
      <w:bookmarkEnd w:id="180"/>
    </w:p>
    <w:p w14:paraId="06C418A4" w14:textId="77777777" w:rsidR="001C4328" w:rsidRPr="001361DF" w:rsidRDefault="001C4328"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Ajutoare de stat: Comisia aprobă o schemă românească în valoare de 606 milioane EUR pentru sprijinirea activității economice în zonele urbane și rurale mici în contextul pandemiei de coronavirus</w:t>
      </w:r>
    </w:p>
    <w:p w14:paraId="7DE3CCFA" w14:textId="3851D0E4" w:rsidR="001C4328" w:rsidRPr="001361DF" w:rsidRDefault="001C4328" w:rsidP="00094459">
      <w:pPr>
        <w:jc w:val="both"/>
        <w:rPr>
          <w:color w:val="404040"/>
          <w:szCs w:val="18"/>
        </w:rPr>
      </w:pPr>
      <w:r w:rsidRPr="001361DF">
        <w:rPr>
          <w:noProof/>
          <w:szCs w:val="18"/>
          <w:lang w:eastAsia="ro-RO"/>
        </w:rPr>
        <w:drawing>
          <wp:anchor distT="0" distB="0" distL="114300" distR="114300" simplePos="0" relativeHeight="252127232" behindDoc="0" locked="0" layoutInCell="1" allowOverlap="1" wp14:anchorId="084BC6D7" wp14:editId="79512052">
            <wp:simplePos x="0" y="0"/>
            <wp:positionH relativeFrom="column">
              <wp:posOffset>-1593</wp:posOffset>
            </wp:positionH>
            <wp:positionV relativeFrom="paragraph">
              <wp:posOffset>75002</wp:posOffset>
            </wp:positionV>
            <wp:extent cx="1663024" cy="1112711"/>
            <wp:effectExtent l="0" t="0" r="0" b="0"/>
            <wp:wrapSquare wrapText="bothSides"/>
            <wp:docPr id="24" name="Picture 24" descr="StateAid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teAid____"/>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663024" cy="1112711"/>
                    </a:xfrm>
                    <a:prstGeom prst="rect">
                      <a:avLst/>
                    </a:prstGeom>
                    <a:noFill/>
                    <a:ln>
                      <a:noFill/>
                    </a:ln>
                  </pic:spPr>
                </pic:pic>
              </a:graphicData>
            </a:graphic>
          </wp:anchor>
        </w:drawing>
      </w:r>
      <w:r w:rsidRPr="001361DF">
        <w:rPr>
          <w:color w:val="404040"/>
          <w:szCs w:val="18"/>
        </w:rPr>
        <w:t>Comisia Europeană a aprobat o schemă românească în valoare de 606 milioane EUR (aproximativ 3 miliarde RON) menită să sprijine întreprinderile din anumite sectoare cu sediul în zone urbane și rurale mici, în contextul pandemiei de coronavirus.</w:t>
      </w:r>
    </w:p>
    <w:p w14:paraId="273BA036" w14:textId="0A48986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Schema a fost aprobată în temeiul </w:t>
      </w:r>
      <w:hyperlink r:id="rId117" w:history="1">
        <w:r w:rsidRPr="001361DF">
          <w:rPr>
            <w:rStyle w:val="Hyperlink"/>
            <w:rFonts w:cs="Arial"/>
            <w:color w:val="004494"/>
          </w:rPr>
          <w:t>cadrului temporar privind ajutoarele de stat</w:t>
        </w:r>
      </w:hyperlink>
      <w:hyperlink r:id="rId118" w:history="1"/>
      <w:r w:rsidRPr="001361DF">
        <w:rPr>
          <w:rFonts w:ascii="Verdana" w:hAnsi="Verdana"/>
          <w:color w:val="404040"/>
          <w:sz w:val="18"/>
          <w:szCs w:val="18"/>
        </w:rPr>
        <w:t>. Măsura va fi deschisă întreprinderilor de toate dimensiunile care își desfășoară activitatea, printre altele, în sectoarele agriculturii, pescuitului, acvaculturii și industriei alimentare. În cadrul schemei, sprijinul public va lua forma unor granturi directe și a unor garanții pentru împrumuturi. Beneficiarii eligibili vor avea dreptul să primească (i) garanții care să acopere până la 90 % din valoarea împrumutului, pentru a efectua investiții și pentru activitățile lor curente; și (ii) granturi directe care să acopere, printre altele, valoarea totală a comisioanelor de risc și de gestiune și dobânzile aplicabile.</w:t>
      </w:r>
    </w:p>
    <w:p w14:paraId="357E082B"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Măsura vizează atenuarea deficitelor de lichidități cu care se confruntă beneficiarii și abordarea unei părți din pierderile suferite de aceștia din cauza pandemiei de coronavirus și a măsurilor restrictive pe care autoritățile române au trebuit să le pună în aplicare pentru a limita răspândirea virusului. Comisia a constatat că schema românească respectă condițiile cadrului temporar. În special, cu privire la ajutoarele sub formă de garanții pentru împrumuturi, (i) garanția se referă atât la împrumuturi pentru investiții, cât și la împrumuturi pentru capitalul de lucru; (ii) durata maximă a unei garanții este de 6 ani; și (iii) primele de garanție respectă nivelurile minime stabilite în cadrul temporar.</w:t>
      </w:r>
    </w:p>
    <w:p w14:paraId="3F0C1736" w14:textId="77777777"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În ceea ce privește cuantumurile limitate ale ajutoarelor sub formă de granturi directe, ajutoarele nu vor depăși: 290.000 EUR pe întreprindere care își desfășoară activitatea în domeniul producției primare de produse agricole, 345.000 EUR pe întreprindere care își desfășoară activitatea în domeniul pescuitului și acvaculturii și 2,3 milioane EUR pe întreprindere care își desfășoară activitatea în alte sectoare. În cadrul ambelor măsuri, ajutorul se va acorda cel târziu la 30 iunie 2022. Comisia a concluzionat că măsura este necesară, adecvată și proporțională pentru a remedia o perturbare gravă a economiei unui stat membru, în conformitate cu articolul 107 alineatul (3) litera (b) din TFUE și cu condițiile prevăzute în cadrul temporar.</w:t>
      </w:r>
    </w:p>
    <w:p w14:paraId="4DE3584B" w14:textId="1E0B64A3" w:rsidR="001C4328" w:rsidRPr="001361DF" w:rsidRDefault="001C4328"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Pe această bază, Comisia a aprobat schema în temeiul normelor UE privind ajutoarele de stat. Mai multe informații cu privire la cadrul temporar și la alte acțiuni întreprinse de Comisie pentru a aborda impactul economic al pandemiei de coronavirus pot fi găsite </w:t>
      </w:r>
      <w:hyperlink r:id="rId119" w:history="1">
        <w:r w:rsidRPr="001361DF">
          <w:rPr>
            <w:rStyle w:val="Hyperlink"/>
            <w:rFonts w:cs="Arial"/>
            <w:color w:val="004494"/>
          </w:rPr>
          <w:t>aici</w:t>
        </w:r>
      </w:hyperlink>
      <w:r w:rsidRPr="001361DF">
        <w:rPr>
          <w:rFonts w:ascii="Verdana" w:hAnsi="Verdana"/>
          <w:color w:val="404040"/>
          <w:sz w:val="18"/>
          <w:szCs w:val="18"/>
        </w:rPr>
        <w:t>. Versiunea neconfidențială a deciziei va fi disponibilă cu numărul de caz SA.103035 în </w:t>
      </w:r>
      <w:hyperlink r:id="rId120" w:history="1">
        <w:r w:rsidRPr="001361DF">
          <w:rPr>
            <w:rStyle w:val="Hyperlink"/>
            <w:rFonts w:cs="Arial"/>
            <w:color w:val="004494"/>
          </w:rPr>
          <w:t>Registrul ajutoarelor de stat</w:t>
        </w:r>
      </w:hyperlink>
      <w:r w:rsidRPr="001361DF">
        <w:rPr>
          <w:rFonts w:ascii="Verdana" w:hAnsi="Verdana"/>
          <w:color w:val="404040"/>
          <w:sz w:val="18"/>
          <w:szCs w:val="18"/>
        </w:rPr>
        <w:t>, pe site-ul web al Comisiei privind </w:t>
      </w:r>
      <w:hyperlink r:id="rId121" w:history="1">
        <w:r w:rsidRPr="001361DF">
          <w:rPr>
            <w:rStyle w:val="Hyperlink"/>
            <w:rFonts w:cs="Arial"/>
            <w:color w:val="004494"/>
          </w:rPr>
          <w:t>concurența</w:t>
        </w:r>
      </w:hyperlink>
      <w:hyperlink r:id="rId122" w:history="1"/>
      <w:r w:rsidRPr="001361DF">
        <w:rPr>
          <w:rFonts w:ascii="Verdana" w:hAnsi="Verdana"/>
          <w:color w:val="404040"/>
          <w:sz w:val="18"/>
          <w:szCs w:val="18"/>
        </w:rPr>
        <w:t>, de îndată ce vor fi fost soluționate eventualele probleme legate de confidențialitate.</w:t>
      </w:r>
    </w:p>
    <w:p w14:paraId="4B8B1761" w14:textId="1BA0C8C0" w:rsidR="001C4328" w:rsidRPr="001361DF" w:rsidRDefault="001C4328" w:rsidP="00094459">
      <w:pPr>
        <w:pStyle w:val="separatorarticole"/>
      </w:pPr>
      <w:r w:rsidRPr="001361DF">
        <w:t>*</w:t>
      </w:r>
    </w:p>
    <w:p w14:paraId="1D4602F7" w14:textId="77777777" w:rsidR="00424000" w:rsidRPr="001361DF" w:rsidRDefault="00424000" w:rsidP="00094459">
      <w:pPr>
        <w:pStyle w:val="TitluArticolinINFOUE"/>
        <w:rPr>
          <w:lang w:eastAsia="ro-RO"/>
        </w:rPr>
      </w:pPr>
      <w:bookmarkStart w:id="181" w:name="_Toc106112281"/>
      <w:r w:rsidRPr="001361DF">
        <w:lastRenderedPageBreak/>
        <w:t>Comisia își exprimă satisfacția cu privire la acordul politic privind salarii minime adecvate pentru lucrătorii din UE</w:t>
      </w:r>
      <w:bookmarkEnd w:id="181"/>
    </w:p>
    <w:p w14:paraId="21EC7A5A" w14:textId="77777777" w:rsidR="00424000" w:rsidRPr="001361DF" w:rsidRDefault="00424000" w:rsidP="00094459">
      <w:pPr>
        <w:pStyle w:val="ecl-page-header-standardiseddescription"/>
        <w:spacing w:before="120" w:beforeAutospacing="0" w:after="0" w:afterAutospacing="0"/>
        <w:jc w:val="both"/>
        <w:rPr>
          <w:rFonts w:ascii="Verdana" w:hAnsi="Verdana" w:cs="Arial"/>
          <w:color w:val="404040"/>
          <w:sz w:val="18"/>
          <w:szCs w:val="18"/>
        </w:rPr>
      </w:pPr>
      <w:r w:rsidRPr="001361DF">
        <w:rPr>
          <w:rFonts w:ascii="Verdana" w:hAnsi="Verdana" w:cs="Arial"/>
          <w:color w:val="404040"/>
          <w:sz w:val="18"/>
          <w:szCs w:val="18"/>
        </w:rPr>
        <w:t>Comisia Europeană își exprimă satisfacția cu privire la acordul politic convenit mai devreme azi între Parlamentul European și statele membre ale UE cu privire la Directiva privind salariile minime adecvate, propusă de Comisie în octombrie 2020.</w:t>
      </w:r>
    </w:p>
    <w:p w14:paraId="15270727" w14:textId="5DD6844B" w:rsidR="00424000" w:rsidRPr="001361DF" w:rsidRDefault="00424000" w:rsidP="00094459">
      <w:pPr>
        <w:jc w:val="both"/>
        <w:rPr>
          <w:color w:val="404040"/>
          <w:szCs w:val="18"/>
        </w:rPr>
      </w:pPr>
      <w:r w:rsidRPr="001361DF">
        <w:rPr>
          <w:noProof/>
          <w:szCs w:val="18"/>
          <w:lang w:eastAsia="ro-RO"/>
        </w:rPr>
        <w:drawing>
          <wp:anchor distT="0" distB="0" distL="114300" distR="114300" simplePos="0" relativeHeight="252128256" behindDoc="0" locked="0" layoutInCell="1" allowOverlap="1" wp14:anchorId="0E63FBC9" wp14:editId="421DA91A">
            <wp:simplePos x="0" y="0"/>
            <wp:positionH relativeFrom="column">
              <wp:posOffset>-1593</wp:posOffset>
            </wp:positionH>
            <wp:positionV relativeFrom="paragraph">
              <wp:posOffset>79962</wp:posOffset>
            </wp:positionV>
            <wp:extent cx="1791952" cy="1198975"/>
            <wp:effectExtent l="0" t="0" r="0" b="1270"/>
            <wp:wrapSquare wrapText="bothSides"/>
            <wp:docPr id="25" name="Picture 25" descr="Minimum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nimumWage"/>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791952" cy="1198975"/>
                    </a:xfrm>
                    <a:prstGeom prst="rect">
                      <a:avLst/>
                    </a:prstGeom>
                    <a:noFill/>
                    <a:ln>
                      <a:noFill/>
                    </a:ln>
                  </pic:spPr>
                </pic:pic>
              </a:graphicData>
            </a:graphic>
          </wp:anchor>
        </w:drawing>
      </w:r>
      <w:r w:rsidRPr="001361DF">
        <w:rPr>
          <w:color w:val="404040"/>
          <w:szCs w:val="18"/>
        </w:rPr>
        <w:t>La începutul mandatului ei, președinta Comisiei, Ursula </w:t>
      </w:r>
      <w:r w:rsidRPr="001361DF">
        <w:rPr>
          <w:rStyle w:val="Strong"/>
          <w:color w:val="404040"/>
        </w:rPr>
        <w:t>von der Leyen</w:t>
      </w:r>
      <w:r w:rsidRPr="001361DF">
        <w:rPr>
          <w:color w:val="404040"/>
          <w:szCs w:val="18"/>
        </w:rPr>
        <w:t>, a promis un instrument juridic pentru a asigura faptul că lucrătorii din UE au un salariu minim echitabil și a reiterat acest angajament în primul ei </w:t>
      </w:r>
      <w:hyperlink r:id="rId124" w:history="1">
        <w:r w:rsidRPr="001361DF">
          <w:rPr>
            <w:rStyle w:val="Hyperlink"/>
            <w:rFonts w:cs="Arial"/>
            <w:color w:val="004494"/>
          </w:rPr>
          <w:t>discurs privind starea Uniunii din 2020</w:t>
        </w:r>
      </w:hyperlink>
      <w:hyperlink r:id="rId125" w:history="1"/>
      <w:r w:rsidRPr="001361DF">
        <w:rPr>
          <w:color w:val="404040"/>
          <w:szCs w:val="18"/>
        </w:rPr>
        <w:t>. </w:t>
      </w:r>
    </w:p>
    <w:p w14:paraId="154A1260"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Directiva stabilește un cadru la nivelul UE vizând gradul de adecvare al salariilor minime instituite prin lege, promovează negocierile colective pentru stabilirea salariilor și îmbunătățește accesul efectiv al lucrătorilor la protecția conferită de un salariu minim în UE.</w:t>
      </w:r>
    </w:p>
    <w:p w14:paraId="55AFB0FC"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Salariile minime adecvate sunt importante pentru consolidarea echității sociale și pentru susținerea unei redresări economice sustenabile și favorabile incluziunii. Îmbunătățirea condițiilor de muncă și de viață este benefică atât pentru întreprinderi, cât și pentru societate și economie în general, prin stimularea productivității și a competitivității.</w:t>
      </w:r>
    </w:p>
    <w:p w14:paraId="502591A8"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Îmbunătățirea protecției conferită de salariul minim, cu respectarea deplină a competențelor și tradițiilor naționale</w:t>
      </w:r>
    </w:p>
    <w:p w14:paraId="4C51B944"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Protecția conferită prin salarii minime există în toate statele membre ale UE, fie prin salarii minime instituite prin lege și contracte colective de muncă, fie exclusiv prin contracte colective de muncă.</w:t>
      </w:r>
    </w:p>
    <w:p w14:paraId="763D3A5E"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Asigurarea unor salarii adecvate ale lucrătorilor este esențială pentru îmbunătățirea condițiilor lor de viață și de muncă și pentru construirea unor economii și societăți echitabile și reziliente. Cu toate acestea, unii lucrători sunt afectați de un grad mic de adecvare și/sau există lacune în ceea ce privește gradul de protecție conferit de salariul minim.</w:t>
      </w:r>
    </w:p>
    <w:p w14:paraId="25F53218"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Noua directivă urmărește să abordeze aceste aspecte prin instituirea unui cadru la nivelul UE vizând îmbunătățirea protecției adecvate conferite de salariul minim. Acest obiectiv va fi atins în condițiile unei respectări depline a tradițiilor și competențelor naționale, precum și a autonomiei partenerilor sociali. Ea nu obligă statele membre să introducă salarii minime instituite prin lege și nici nu stabilește pentru întreaga UE un nivel comun al salariilor minime.</w:t>
      </w:r>
    </w:p>
    <w:p w14:paraId="4A8F85A1"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Principalele elemente ale directivei sunt următoarele:</w:t>
      </w:r>
    </w:p>
    <w:p w14:paraId="7F065331" w14:textId="77777777" w:rsidR="00424000" w:rsidRPr="001361DF" w:rsidRDefault="00424000" w:rsidP="00CF784D">
      <w:pPr>
        <w:numPr>
          <w:ilvl w:val="0"/>
          <w:numId w:val="5"/>
        </w:numPr>
        <w:ind w:left="0" w:firstLine="0"/>
        <w:jc w:val="both"/>
        <w:rPr>
          <w:color w:val="404040"/>
          <w:szCs w:val="18"/>
        </w:rPr>
      </w:pPr>
      <w:r w:rsidRPr="001361DF">
        <w:rPr>
          <w:rStyle w:val="Strong"/>
          <w:color w:val="404040"/>
        </w:rPr>
        <w:t>Un cadru pentru stabilirea și actualizarea salariilor minime instituite prin lege:</w:t>
      </w:r>
      <w:r w:rsidRPr="001361DF">
        <w:rPr>
          <w:color w:val="404040"/>
          <w:szCs w:val="18"/>
        </w:rPr>
        <w:t> Statele membre cu salarii minime instituite prin lege vor trebui să înființeze un cadru de guvernanță solidă pentru stabilirea și actualizarea salariilor minime. El include:</w:t>
      </w:r>
    </w:p>
    <w:p w14:paraId="30B2799C" w14:textId="77777777" w:rsidR="00424000" w:rsidRPr="001361DF" w:rsidRDefault="00424000" w:rsidP="00CF784D">
      <w:pPr>
        <w:numPr>
          <w:ilvl w:val="1"/>
          <w:numId w:val="5"/>
        </w:numPr>
        <w:ind w:left="720"/>
        <w:jc w:val="both"/>
        <w:rPr>
          <w:color w:val="404040"/>
          <w:szCs w:val="18"/>
        </w:rPr>
      </w:pPr>
      <w:r w:rsidRPr="001361DF">
        <w:rPr>
          <w:color w:val="404040"/>
          <w:szCs w:val="18"/>
        </w:rPr>
        <w:t>criterii clare pentru stabilirea salariului minim (incluzând: o putere de cumpărare care să țină seama de costul vieții; nivelul, distribuția și rata de creștere a salariilor; și productivitatea națională);</w:t>
      </w:r>
    </w:p>
    <w:p w14:paraId="49F0246C" w14:textId="77777777" w:rsidR="00424000" w:rsidRPr="001361DF" w:rsidRDefault="00424000" w:rsidP="00CF784D">
      <w:pPr>
        <w:numPr>
          <w:ilvl w:val="1"/>
          <w:numId w:val="5"/>
        </w:numPr>
        <w:ind w:left="720"/>
        <w:jc w:val="both"/>
        <w:rPr>
          <w:color w:val="404040"/>
          <w:szCs w:val="18"/>
        </w:rPr>
      </w:pPr>
      <w:r w:rsidRPr="001361DF">
        <w:rPr>
          <w:color w:val="404040"/>
          <w:szCs w:val="18"/>
        </w:rPr>
        <w:t>utilizarea unor valori de referință orientative pentru a ghida evaluarea gradului de adecvare a salariilor minime, directiva oferind indicații cu privire la posibilele valori care ar putea fi utilizate;</w:t>
      </w:r>
    </w:p>
    <w:p w14:paraId="1CB21968" w14:textId="77777777" w:rsidR="00424000" w:rsidRPr="001361DF" w:rsidRDefault="00424000" w:rsidP="00CF784D">
      <w:pPr>
        <w:numPr>
          <w:ilvl w:val="1"/>
          <w:numId w:val="5"/>
        </w:numPr>
        <w:ind w:left="720"/>
        <w:jc w:val="both"/>
        <w:rPr>
          <w:color w:val="404040"/>
          <w:szCs w:val="18"/>
        </w:rPr>
      </w:pPr>
      <w:r w:rsidRPr="001361DF">
        <w:rPr>
          <w:color w:val="404040"/>
          <w:szCs w:val="18"/>
        </w:rPr>
        <w:t>actualizări periodice și în timp util ale salariilor minime;</w:t>
      </w:r>
    </w:p>
    <w:p w14:paraId="778559E8" w14:textId="77777777" w:rsidR="00424000" w:rsidRPr="001361DF" w:rsidRDefault="00424000" w:rsidP="00CF784D">
      <w:pPr>
        <w:numPr>
          <w:ilvl w:val="1"/>
          <w:numId w:val="5"/>
        </w:numPr>
        <w:ind w:left="720"/>
        <w:jc w:val="both"/>
        <w:rPr>
          <w:color w:val="404040"/>
          <w:szCs w:val="18"/>
        </w:rPr>
      </w:pPr>
      <w:r w:rsidRPr="001361DF">
        <w:rPr>
          <w:color w:val="404040"/>
          <w:szCs w:val="18"/>
        </w:rPr>
        <w:t>înființarea unor organisme consultative, la care să poată participa partenerii sociali;</w:t>
      </w:r>
    </w:p>
    <w:p w14:paraId="51D72326" w14:textId="77777777" w:rsidR="00424000" w:rsidRPr="001361DF" w:rsidRDefault="00424000" w:rsidP="00CF784D">
      <w:pPr>
        <w:numPr>
          <w:ilvl w:val="1"/>
          <w:numId w:val="5"/>
        </w:numPr>
        <w:ind w:left="720"/>
        <w:jc w:val="both"/>
        <w:rPr>
          <w:color w:val="404040"/>
          <w:szCs w:val="18"/>
        </w:rPr>
      </w:pPr>
      <w:r w:rsidRPr="001361DF">
        <w:rPr>
          <w:color w:val="404040"/>
          <w:szCs w:val="18"/>
        </w:rPr>
        <w:t>asigurarea faptului că variațiile și deducerile salariilor minime instituite prin lege respectă principiile nediscriminării și proporționalității, inclusiv urmărirea unui obiectiv legitim; și</w:t>
      </w:r>
    </w:p>
    <w:p w14:paraId="456C4B09" w14:textId="77777777" w:rsidR="00424000" w:rsidRPr="001361DF" w:rsidRDefault="00424000" w:rsidP="00CF784D">
      <w:pPr>
        <w:numPr>
          <w:ilvl w:val="1"/>
          <w:numId w:val="5"/>
        </w:numPr>
        <w:ind w:left="720"/>
        <w:jc w:val="both"/>
        <w:rPr>
          <w:color w:val="404040"/>
          <w:szCs w:val="18"/>
        </w:rPr>
      </w:pPr>
      <w:r w:rsidRPr="001361DF">
        <w:rPr>
          <w:color w:val="404040"/>
          <w:szCs w:val="18"/>
        </w:rPr>
        <w:t>implicarea efectivă a partenerilor sociali în stabilirea și actualizarea salariilor minime instituite prin lege</w:t>
      </w:r>
    </w:p>
    <w:p w14:paraId="66877720" w14:textId="77777777" w:rsidR="00424000" w:rsidRPr="001361DF" w:rsidRDefault="00424000" w:rsidP="00CF784D">
      <w:pPr>
        <w:numPr>
          <w:ilvl w:val="0"/>
          <w:numId w:val="5"/>
        </w:numPr>
        <w:ind w:left="0" w:firstLine="0"/>
        <w:jc w:val="both"/>
        <w:rPr>
          <w:color w:val="404040"/>
          <w:szCs w:val="18"/>
        </w:rPr>
      </w:pPr>
      <w:r w:rsidRPr="001361DF">
        <w:rPr>
          <w:rStyle w:val="Strong"/>
          <w:color w:val="404040"/>
        </w:rPr>
        <w:t>Promovarea și facilitarea negocierilor colective privind salariile:</w:t>
      </w:r>
      <w:r w:rsidRPr="001361DF">
        <w:rPr>
          <w:color w:val="404040"/>
          <w:szCs w:val="18"/>
        </w:rPr>
        <w:t xml:space="preserve"> în toate statele membre, directiva sprijină negocierea colectivă. Aceasta deoarece țările în care contractele colective de muncă sunt larg utilizate tind să aibă o proporție mai mică a lucrătorilor cu salarii mici, un nivel mai mic de inechitate </w:t>
      </w:r>
      <w:r w:rsidRPr="001361DF">
        <w:rPr>
          <w:color w:val="404040"/>
          <w:szCs w:val="18"/>
        </w:rPr>
        <w:lastRenderedPageBreak/>
        <w:t>salarială și salarii mai mari. În plus, directiva solicită statelor membre în care negocierile colective implică sub 80 % din lucrători să stabilească un plan de acțiune pentru promovarea negocierilor colective.</w:t>
      </w:r>
    </w:p>
    <w:p w14:paraId="75F2052D" w14:textId="77777777" w:rsidR="00424000" w:rsidRPr="001361DF" w:rsidRDefault="00424000" w:rsidP="00CF784D">
      <w:pPr>
        <w:numPr>
          <w:ilvl w:val="0"/>
          <w:numId w:val="5"/>
        </w:numPr>
        <w:ind w:left="0" w:firstLine="0"/>
        <w:jc w:val="both"/>
        <w:rPr>
          <w:color w:val="404040"/>
          <w:szCs w:val="18"/>
        </w:rPr>
      </w:pPr>
      <w:r w:rsidRPr="001361DF">
        <w:rPr>
          <w:rStyle w:val="Strong"/>
          <w:color w:val="404040"/>
        </w:rPr>
        <w:t>O mai bună monitorizare și asigurare a protecției conferite de salariul minim:</w:t>
      </w:r>
      <w:r w:rsidRPr="001361DF">
        <w:rPr>
          <w:color w:val="404040"/>
          <w:szCs w:val="18"/>
        </w:rPr>
        <w:t> Statele membre vor trebui să colecteze date privind proporția de lucrători care beneficiază de un salariu minim și gradul de adecvare al acestuia, precum și să asigure faptul că lucrătorii au acces la soluționarea litigiilor și au dreptul la despăgubiri. Conformitatea și respectarea efectivă a prevederilor directivei sunt esențiale pentru ca lucrătorii să beneficieze efectiv de acces la protecția conferită de salariul minim și pentru a promova un cadru competitiv bazat pe inovare, productivitate și respectarea standardelor sociale.</w:t>
      </w:r>
    </w:p>
    <w:p w14:paraId="60BD8788"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Declarațiile membrilor colegiului:</w:t>
      </w:r>
    </w:p>
    <w:p w14:paraId="620553BB"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Președinta Comisiei, Ursula </w:t>
      </w:r>
      <w:r w:rsidRPr="001361DF">
        <w:rPr>
          <w:rStyle w:val="Strong"/>
          <w:color w:val="404040"/>
        </w:rPr>
        <w:t>von der Leyen</w:t>
      </w:r>
      <w:r w:rsidRPr="001361DF">
        <w:rPr>
          <w:rFonts w:ascii="Verdana" w:hAnsi="Verdana"/>
          <w:color w:val="404040"/>
          <w:sz w:val="18"/>
          <w:szCs w:val="18"/>
        </w:rPr>
        <w:t>, a declarat: „</w:t>
      </w:r>
      <w:r w:rsidRPr="001361DF">
        <w:rPr>
          <w:rStyle w:val="Emphasis"/>
          <w:color w:val="404040"/>
        </w:rPr>
        <w:t>UE și-a îndeplinit promisiunea. Noile norme privind salariile minime vor proteja demnitatea muncii și vor garanta că munca este remunerată. Toate acestea se vor realiza cu respectarea deplină a tradițiilor naționale și a autonomiei partenerilor sociali.”</w:t>
      </w:r>
    </w:p>
    <w:p w14:paraId="016A1949" w14:textId="37131CFC"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Valdis </w:t>
      </w:r>
      <w:r w:rsidRPr="001361DF">
        <w:rPr>
          <w:rStyle w:val="Strong"/>
          <w:color w:val="404040"/>
        </w:rPr>
        <w:t>Dombrovskis</w:t>
      </w:r>
      <w:r w:rsidRPr="001361DF">
        <w:rPr>
          <w:rFonts w:ascii="Verdana" w:hAnsi="Verdana"/>
          <w:color w:val="404040"/>
          <w:sz w:val="18"/>
          <w:szCs w:val="18"/>
        </w:rPr>
        <w:t>, vicepreședinte executiv pentru o economie în serviciul cetățenilor, a declarat: </w:t>
      </w:r>
      <w:r w:rsidRPr="001361DF">
        <w:rPr>
          <w:rStyle w:val="Emphasis"/>
          <w:color w:val="404040"/>
        </w:rPr>
        <w:t>„Acest cadru privind salariile minime reprezintă un pas fundamental către protejarea lucrătorilor din întreaga Uniune, respectând în același timp competențele naționale și autonomia partenerilor sociali. Având în vedere impactul războiului purtat de Rusia în Ucraina, este esențial să protejăm persoanele cu venituri mici. Salariile minime ar trebui să asigure un nivel de trai decent și, în același timp, să promoveze inovarea și productivitatea.”</w:t>
      </w:r>
    </w:p>
    <w:p w14:paraId="5E58ABA8"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Comisarul pentru locuri de muncă și drepturi sociale, Nicolas </w:t>
      </w:r>
      <w:r w:rsidRPr="001361DF">
        <w:rPr>
          <w:rStyle w:val="Strong"/>
          <w:color w:val="404040"/>
        </w:rPr>
        <w:t>Schmit</w:t>
      </w:r>
      <w:r w:rsidRPr="001361DF">
        <w:rPr>
          <w:rFonts w:ascii="Verdana" w:hAnsi="Verdana"/>
          <w:color w:val="404040"/>
          <w:sz w:val="18"/>
          <w:szCs w:val="18"/>
        </w:rPr>
        <w:t>, a declarat: </w:t>
      </w:r>
      <w:r w:rsidRPr="001361DF">
        <w:rPr>
          <w:rStyle w:val="Emphasis"/>
          <w:color w:val="404040"/>
        </w:rPr>
        <w:t>„Într-un moment în care multe gospodării de pe întreg teritoriul UE sunt îngrijorate de faptul că veniturile lor sunt insuficiente, este esențial ca toate statele membre să ofere o protecție adecvată prin salarii minime. Cadrul convenit de Parlamentul European și de Consiliu va contribui la asigurarea faptului că persoanele cu salarii minime își pot permite o viață demnă. Este o zi bună pentru o Europă socială puternică, care protejează.”</w:t>
      </w:r>
    </w:p>
    <w:p w14:paraId="0ABE3755"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Etapele următoare</w:t>
      </w:r>
    </w:p>
    <w:p w14:paraId="3E5D7B04"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Acordul politic la care au ajuns Parlamentul European și Consiliul face în prezent obiectul aprobării oficiale de către colegiuitori. Odată publicată în Jurnalul Oficial, directiva va intra în vigoare după 20 de zile de la publicare, iar statele membre vor trebui să transpună apoi noile elemente ale directivei în dreptul intern, în termen de doi ani.</w:t>
      </w:r>
    </w:p>
    <w:p w14:paraId="234518B4" w14:textId="77777777"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Context</w:t>
      </w:r>
    </w:p>
    <w:p w14:paraId="2CD17979" w14:textId="7FA5072E"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Dreptul la salarii minime adecvate este înscris în principiul 6 al </w:t>
      </w:r>
      <w:hyperlink r:id="rId126" w:history="1">
        <w:r w:rsidRPr="001361DF">
          <w:rPr>
            <w:rStyle w:val="Hyperlink"/>
            <w:rFonts w:cs="Arial"/>
            <w:color w:val="004494"/>
          </w:rPr>
          <w:t>Pilonului european al drepturilor sociale</w:t>
        </w:r>
      </w:hyperlink>
      <w:hyperlink r:id="rId127" w:history="1"/>
      <w:r w:rsidRPr="001361DF">
        <w:rPr>
          <w:rFonts w:ascii="Verdana" w:hAnsi="Verdana"/>
          <w:color w:val="404040"/>
          <w:sz w:val="18"/>
          <w:szCs w:val="18"/>
        </w:rPr>
        <w:t>, proclamat în comun de Parlamentul European, de Consiliu în numele tuturor statelor membre și de Comisie, la Göteborg, în noiembrie 2017. Directiva privind salariile minime adecvate este una dintre acțiunile esențiale ale </w:t>
      </w:r>
      <w:hyperlink r:id="rId128" w:history="1">
        <w:r w:rsidRPr="001361DF">
          <w:rPr>
            <w:rStyle w:val="Hyperlink"/>
            <w:rFonts w:cs="Arial"/>
            <w:color w:val="004494"/>
          </w:rPr>
          <w:t>Planului de acțiune privind Pilonul european al drepturilor sociale</w:t>
        </w:r>
      </w:hyperlink>
      <w:hyperlink r:id="rId129" w:history="1"/>
      <w:r w:rsidRPr="001361DF">
        <w:rPr>
          <w:rFonts w:ascii="Verdana" w:hAnsi="Verdana"/>
          <w:color w:val="404040"/>
          <w:sz w:val="18"/>
          <w:szCs w:val="18"/>
        </w:rPr>
        <w:t> pentru a aprofunda punerea în aplicare a principiilor pilonului.</w:t>
      </w:r>
    </w:p>
    <w:p w14:paraId="7B2DE6C1" w14:textId="5B85D2C5"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Fonts w:ascii="Verdana" w:hAnsi="Verdana"/>
          <w:color w:val="404040"/>
          <w:sz w:val="18"/>
          <w:szCs w:val="18"/>
        </w:rPr>
        <w:t>La 28 octombrie 2020, Comisia a propus o </w:t>
      </w:r>
      <w:hyperlink r:id="rId130" w:history="1">
        <w:r w:rsidRPr="001361DF">
          <w:rPr>
            <w:rStyle w:val="Hyperlink"/>
            <w:rFonts w:cs="Arial"/>
            <w:color w:val="004494"/>
          </w:rPr>
          <w:t>directivă privind salarii minime adecvate</w:t>
        </w:r>
      </w:hyperlink>
      <w:hyperlink r:id="rId131" w:history="1"/>
      <w:r w:rsidRPr="001361DF">
        <w:rPr>
          <w:rFonts w:ascii="Verdana" w:hAnsi="Verdana"/>
          <w:color w:val="404040"/>
          <w:sz w:val="18"/>
          <w:szCs w:val="18"/>
        </w:rPr>
        <w:t>, în urma unei consultări în două etape a partenerilor sociali, desfășurată în conformitate cu articolul 154 din Tratatul privind funcționarea Uniunii Europene (TFUE). Directiva UE se bazează pe articolul 153 alineatul (1) litera (b) din TFUE, care vizează condițiile de muncă.</w:t>
      </w:r>
    </w:p>
    <w:p w14:paraId="2AFA651D" w14:textId="0362792F" w:rsidR="00424000" w:rsidRPr="001361DF" w:rsidRDefault="00424000" w:rsidP="00094459">
      <w:pPr>
        <w:pStyle w:val="NormalWeb"/>
        <w:spacing w:before="120" w:beforeAutospacing="0" w:after="0" w:afterAutospacing="0"/>
        <w:jc w:val="both"/>
        <w:rPr>
          <w:rFonts w:ascii="Verdana" w:hAnsi="Verdana"/>
          <w:color w:val="404040"/>
          <w:sz w:val="18"/>
          <w:szCs w:val="18"/>
        </w:rPr>
      </w:pPr>
      <w:r w:rsidRPr="001361DF">
        <w:rPr>
          <w:rStyle w:val="Strong"/>
          <w:color w:val="404040"/>
        </w:rPr>
        <w:t>Informații suplimentare</w:t>
      </w:r>
    </w:p>
    <w:p w14:paraId="6305CBB2" w14:textId="1A5EE0BD" w:rsidR="00424000" w:rsidRPr="001361DF" w:rsidRDefault="00306065" w:rsidP="00094459">
      <w:pPr>
        <w:pStyle w:val="NormalWeb"/>
        <w:spacing w:before="120" w:beforeAutospacing="0" w:after="0" w:afterAutospacing="0"/>
        <w:jc w:val="both"/>
        <w:rPr>
          <w:rFonts w:ascii="Verdana" w:hAnsi="Verdana"/>
          <w:color w:val="404040"/>
          <w:sz w:val="18"/>
          <w:szCs w:val="18"/>
        </w:rPr>
      </w:pPr>
      <w:hyperlink r:id="rId132" w:history="1">
        <w:r w:rsidR="00424000" w:rsidRPr="001361DF">
          <w:rPr>
            <w:rStyle w:val="Hyperlink"/>
            <w:rFonts w:cs="Arial"/>
            <w:color w:val="004494"/>
          </w:rPr>
          <w:t>Propunerea Comisiei de Directivă a UE privind salariile minime adecvate în Uniunea Europeană</w:t>
        </w:r>
      </w:hyperlink>
    </w:p>
    <w:p w14:paraId="70645469" w14:textId="386466AC" w:rsidR="00424000" w:rsidRPr="001361DF" w:rsidRDefault="00306065" w:rsidP="00094459">
      <w:pPr>
        <w:pStyle w:val="NormalWeb"/>
        <w:spacing w:before="120" w:beforeAutospacing="0" w:after="0" w:afterAutospacing="0"/>
        <w:jc w:val="both"/>
        <w:rPr>
          <w:rFonts w:ascii="Verdana" w:hAnsi="Verdana"/>
          <w:color w:val="404040"/>
          <w:sz w:val="18"/>
          <w:szCs w:val="18"/>
        </w:rPr>
      </w:pPr>
      <w:hyperlink r:id="rId133" w:history="1">
        <w:r w:rsidR="00424000" w:rsidRPr="001361DF">
          <w:rPr>
            <w:rStyle w:val="Hyperlink"/>
            <w:rFonts w:cs="Arial"/>
            <w:color w:val="004494"/>
          </w:rPr>
          <w:t>Comunicat de presă: Impulsionarea economiei sociale de piață a UE: salarii minime adecvate pentru lucrătorii din toate statele membre</w:t>
        </w:r>
      </w:hyperlink>
      <w:hyperlink r:id="rId134" w:history="1"/>
    </w:p>
    <w:p w14:paraId="54073DCC" w14:textId="5C2F3F1E" w:rsidR="00424000" w:rsidRPr="001361DF" w:rsidRDefault="00306065" w:rsidP="00094459">
      <w:pPr>
        <w:pStyle w:val="NormalWeb"/>
        <w:spacing w:before="120" w:beforeAutospacing="0" w:after="0" w:afterAutospacing="0"/>
        <w:jc w:val="both"/>
        <w:rPr>
          <w:rFonts w:ascii="Verdana" w:hAnsi="Verdana"/>
          <w:color w:val="404040"/>
          <w:sz w:val="18"/>
          <w:szCs w:val="18"/>
        </w:rPr>
      </w:pPr>
      <w:hyperlink r:id="rId135" w:history="1">
        <w:r w:rsidR="00424000" w:rsidRPr="001361DF">
          <w:rPr>
            <w:rStyle w:val="Hyperlink"/>
            <w:rFonts w:cs="Arial"/>
            <w:color w:val="004494"/>
          </w:rPr>
          <w:t>Întrebări și răspunsuri: Salarii minime adecvate</w:t>
        </w:r>
      </w:hyperlink>
      <w:hyperlink r:id="rId136" w:history="1"/>
    </w:p>
    <w:p w14:paraId="34DAAC7A" w14:textId="77777777" w:rsidR="00424000" w:rsidRPr="001361DF" w:rsidRDefault="00306065" w:rsidP="00094459">
      <w:pPr>
        <w:pStyle w:val="NormalWeb"/>
        <w:spacing w:before="120" w:beforeAutospacing="0" w:after="0" w:afterAutospacing="0"/>
        <w:jc w:val="both"/>
        <w:rPr>
          <w:rFonts w:ascii="Verdana" w:hAnsi="Verdana"/>
          <w:color w:val="404040"/>
          <w:sz w:val="18"/>
          <w:szCs w:val="18"/>
        </w:rPr>
      </w:pPr>
      <w:hyperlink r:id="rId137" w:history="1">
        <w:r w:rsidR="00424000" w:rsidRPr="001361DF">
          <w:rPr>
            <w:rStyle w:val="Hyperlink"/>
            <w:rFonts w:cs="Arial"/>
            <w:color w:val="004494"/>
          </w:rPr>
          <w:t>Fișă informativă: Salarii minime adecvate</w:t>
        </w:r>
      </w:hyperlink>
    </w:p>
    <w:p w14:paraId="0D5A197F" w14:textId="77777777" w:rsidR="007D7B3E" w:rsidRDefault="007D7B3E"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7030837B" w:rsidR="00A87293" w:rsidRDefault="00730822" w:rsidP="007423C9">
      <w:pPr>
        <w:pStyle w:val="DinactualitateaEU"/>
      </w:pPr>
      <w:bookmarkStart w:id="182" w:name="_Hlk99968589"/>
      <w:bookmarkStart w:id="183" w:name="_Hlk103591796"/>
      <w:bookmarkStart w:id="184" w:name="_Toc106112282"/>
      <w:r>
        <w:lastRenderedPageBreak/>
        <w:t>Ucraina</w:t>
      </w:r>
      <w:bookmarkEnd w:id="184"/>
      <w:r w:rsidR="00A87293" w:rsidRPr="00A87293">
        <w:t xml:space="preserve"> </w:t>
      </w:r>
    </w:p>
    <w:p w14:paraId="6B0AD3ED" w14:textId="5D43AB4E" w:rsidR="0072258E" w:rsidRPr="00277818" w:rsidRDefault="0072258E" w:rsidP="00706B2C">
      <w:pPr>
        <w:pStyle w:val="TitluArticolinINFOUE"/>
        <w:rPr>
          <w:lang w:eastAsia="ro-RO"/>
        </w:rPr>
      </w:pPr>
      <w:bookmarkStart w:id="185" w:name="_Toc106112283"/>
      <w:r w:rsidRPr="00277818">
        <w:t>UE oferă sprijin în valoare de 20 de milioane EUR întreprinderilor nou-înființate din Ucraina prin intermediul Consiliului European pentru Inovare</w:t>
      </w:r>
      <w:bookmarkEnd w:id="185"/>
    </w:p>
    <w:p w14:paraId="197113ED" w14:textId="35860E5B" w:rsidR="0072258E" w:rsidRPr="00277818" w:rsidRDefault="00706B2C" w:rsidP="00277818">
      <w:pPr>
        <w:pStyle w:val="ecl-page-header-standardiseddescription"/>
        <w:shd w:val="clear" w:color="auto" w:fill="FFFFFF"/>
        <w:spacing w:before="120" w:beforeAutospacing="0" w:after="0" w:afterAutospacing="0"/>
        <w:rPr>
          <w:rFonts w:ascii="Verdana" w:hAnsi="Verdana" w:cs="Arial"/>
          <w:color w:val="404040"/>
          <w:sz w:val="18"/>
          <w:szCs w:val="18"/>
        </w:rPr>
      </w:pPr>
      <w:r w:rsidRPr="00277818">
        <w:rPr>
          <w:rFonts w:ascii="Verdana" w:hAnsi="Verdana"/>
          <w:noProof/>
          <w:sz w:val="18"/>
          <w:szCs w:val="18"/>
        </w:rPr>
        <w:drawing>
          <wp:anchor distT="0" distB="0" distL="114300" distR="114300" simplePos="0" relativeHeight="252135424" behindDoc="0" locked="0" layoutInCell="1" allowOverlap="1" wp14:anchorId="2F44AF86" wp14:editId="5275369D">
            <wp:simplePos x="0" y="0"/>
            <wp:positionH relativeFrom="column">
              <wp:posOffset>2540</wp:posOffset>
            </wp:positionH>
            <wp:positionV relativeFrom="paragraph">
              <wp:posOffset>75565</wp:posOffset>
            </wp:positionV>
            <wp:extent cx="2257425" cy="1510265"/>
            <wp:effectExtent l="0" t="0" r="0" b="0"/>
            <wp:wrapSquare wrapText="bothSides"/>
            <wp:docPr id="30" name="Picture 30" descr="StartU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rtUpU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57425" cy="1510265"/>
                    </a:xfrm>
                    <a:prstGeom prst="rect">
                      <a:avLst/>
                    </a:prstGeom>
                    <a:noFill/>
                    <a:ln>
                      <a:noFill/>
                    </a:ln>
                  </pic:spPr>
                </pic:pic>
              </a:graphicData>
            </a:graphic>
          </wp:anchor>
        </w:drawing>
      </w:r>
      <w:r w:rsidR="0072258E" w:rsidRPr="00277818">
        <w:rPr>
          <w:rFonts w:ascii="Verdana" w:hAnsi="Verdana" w:cs="Arial"/>
          <w:color w:val="404040"/>
          <w:sz w:val="18"/>
          <w:szCs w:val="18"/>
        </w:rPr>
        <w:t>Comisia Europeană a lansat o acțiune ambițioasă în valoare de 20 de milioane EUR pentru a sprijini comunitatea de inovare din Ucraina.</w:t>
      </w:r>
    </w:p>
    <w:p w14:paraId="464C3751" w14:textId="092DBA16"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Printr-o modificare specifică a programului de lucru pentru 2022 al </w:t>
      </w:r>
      <w:hyperlink r:id="rId139" w:history="1">
        <w:r w:rsidRPr="00277818">
          <w:rPr>
            <w:rStyle w:val="Hyperlink"/>
            <w:rFonts w:cs="Arial"/>
            <w:color w:val="004494"/>
          </w:rPr>
          <w:t>Consiliului European pentru inovare</w:t>
        </w:r>
      </w:hyperlink>
      <w:hyperlink r:id="rId140" w:history="1"/>
      <w:r w:rsidRPr="00277818">
        <w:rPr>
          <w:rFonts w:ascii="Verdana" w:hAnsi="Verdana"/>
          <w:color w:val="404040"/>
          <w:sz w:val="18"/>
          <w:szCs w:val="18"/>
        </w:rPr>
        <w:t> (CEI), noua inițiativă va sprijini cel puțin 200 de întreprinderi ucrainene nou înființate din domeniul tehnologiei profunde (</w:t>
      </w:r>
      <w:r w:rsidRPr="00277818">
        <w:rPr>
          <w:rStyle w:val="Emphasis"/>
          <w:color w:val="404040"/>
        </w:rPr>
        <w:t>deep tech</w:t>
      </w:r>
      <w:r w:rsidRPr="00277818">
        <w:rPr>
          <w:rFonts w:ascii="Verdana" w:hAnsi="Verdana"/>
          <w:color w:val="404040"/>
          <w:sz w:val="18"/>
          <w:szCs w:val="18"/>
        </w:rPr>
        <w:t>), oferind fiecăreia până la 60 000 EUR. În plus, CEI va acorda și sprijin nefinanciar, sub formă de servicii de consultanță în afaceri și de stabilire de contacte. Inovatorii ucraineni își vor putea consolida astfel capacitatea de a interacționa cu ecosistemul european de inovare, de a pătrunde pe piețe noi și de a beneficia de instrumentele europene de finanțare.</w:t>
      </w:r>
    </w:p>
    <w:p w14:paraId="74F2E6BB"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Președinta Comisiei Europene, Ursula </w:t>
      </w:r>
      <w:r w:rsidRPr="00277818">
        <w:rPr>
          <w:rStyle w:val="Strong"/>
          <w:color w:val="404040"/>
        </w:rPr>
        <w:t>von der Leyen</w:t>
      </w:r>
      <w:r w:rsidRPr="00277818">
        <w:rPr>
          <w:rFonts w:ascii="Verdana" w:hAnsi="Verdana"/>
          <w:color w:val="404040"/>
          <w:sz w:val="18"/>
          <w:szCs w:val="18"/>
        </w:rPr>
        <w:t>, a declarat: </w:t>
      </w:r>
      <w:r w:rsidRPr="00277818">
        <w:rPr>
          <w:rStyle w:val="Emphasis"/>
          <w:color w:val="404040"/>
        </w:rPr>
        <w:t>„Deși continuă să lupte împotriva agresiunii militare a Rusiei, este vital pentru Ucraina să privească spre viitor. Această țară are un sector al întreprinderilor nou-înființate foarte dinamic și un mare potențial pentru întreprinderi inovatoare. Este foarte important să menținem această capacitate economică și să le permitem inovatorilor ucraineni din sectorul tehnologic să crească și să se integreze și mai mult în ecosistemul european de inovare. Dorim ca ei să își poată extinde operațiunile pe piețele europene și dincolo de acestea.”</w:t>
      </w:r>
    </w:p>
    <w:p w14:paraId="258A78A4"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Margrethe </w:t>
      </w:r>
      <w:r w:rsidRPr="00277818">
        <w:rPr>
          <w:rStyle w:val="Strong"/>
          <w:color w:val="404040"/>
        </w:rPr>
        <w:t>Vestager</w:t>
      </w:r>
      <w:r w:rsidRPr="00277818">
        <w:rPr>
          <w:rFonts w:ascii="Verdana" w:hAnsi="Verdana"/>
          <w:color w:val="404040"/>
          <w:sz w:val="18"/>
          <w:szCs w:val="18"/>
        </w:rPr>
        <w:t>, vicepreședinta executivă pentru o Europă pregătită pentru era digitală, a declarat: </w:t>
      </w:r>
      <w:r w:rsidRPr="00277818">
        <w:rPr>
          <w:rStyle w:val="Emphasis"/>
          <w:color w:val="404040"/>
        </w:rPr>
        <w:t>„Scopul nostru este de a mobiliza toate resursele posibile pentru a oferi sprijin Ucrainei. Invităm astăzi actorii europeni din domeniul inovării, cum sunt asociațiile de întreprinderi nou-înființate, centrele de sprijin pentru întreprinderi, incubatoarele și acceleratoarele, să ni se alăture pentru a sprijini comunitatea de tehnologie profundă din Ucraina să devină mai puternică, mai rezilientă și mai competitivă.”</w:t>
      </w:r>
    </w:p>
    <w:p w14:paraId="4C42E3D9"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Mariya </w:t>
      </w:r>
      <w:r w:rsidRPr="00277818">
        <w:rPr>
          <w:rStyle w:val="Strong"/>
          <w:color w:val="404040"/>
        </w:rPr>
        <w:t>Gabriel</w:t>
      </w:r>
      <w:r w:rsidRPr="00277818">
        <w:rPr>
          <w:rFonts w:ascii="Verdana" w:hAnsi="Verdana"/>
          <w:color w:val="404040"/>
          <w:sz w:val="18"/>
          <w:szCs w:val="18"/>
        </w:rPr>
        <w:t>, comisarul pentru inovare, cercetare, cultură, educație și tineret, a declarat: </w:t>
      </w:r>
      <w:r w:rsidRPr="00277818">
        <w:rPr>
          <w:rStyle w:val="Emphasis"/>
          <w:color w:val="404040"/>
        </w:rPr>
        <w:t>„Înainte de invazia rusă, sectorul tehnologic din Ucraina era foarte dinamic, cuprinzând peste 1 600 de întreprinderi nou-înființate. Noua acțiune a Comisiei își propune să garanteze continuitatea acestor progrese, să consolideze legăturile cu ecosistemul european de inovare și să se asigure că întreprinderile nou-înființate ucrainene sunt în măsură să devină un factor esențial în procesul de reconstrucție a Ucrainei.”</w:t>
      </w:r>
    </w:p>
    <w:p w14:paraId="3D2BE57B"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Sprijinul în valoare de 20 de milioane EUR va fi acordat prin intermediul unei cereri de propuneri competitive privind o rețea paneuropeană de asociații de întreprinderi nou-înființate, pentru a sprijini părțile interesate ucrainene din domeniul inovării. Vor fi asigurate sinergii cu inițiative relevante ale UE, precum Rețeaua întreprinderilor europene. Prin această cerere de propuneri, care se va deschide la 23 iunie, Consiliul European pentru Inovare (CEI) aspiră să asigure continuitatea activității companiilor ucrainene din domeniul tehnologic și să încurajeze creșterea acestora. Acțiunea poate contribui la pregătirea întreprinderilor nou-înființate ucrainene pentru a concura în cadrul oportunităților de finanțare oferite de CEI. CEI poate finanța întreprinderile nou-înființate cu până la 17,5 milioane EUR, sub formă de granturi și investiții de capital, și poate atrage și alte investiții private cu o valoare de până la trei ori mai mare decât suma investită din fondurile publice.</w:t>
      </w:r>
    </w:p>
    <w:p w14:paraId="580F7DDE" w14:textId="056FE4BE"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În plus, acordul de asociere a Ucrainei la </w:t>
      </w:r>
      <w:hyperlink r:id="rId141" w:history="1">
        <w:r w:rsidRPr="00277818">
          <w:rPr>
            <w:rStyle w:val="Hyperlink"/>
            <w:rFonts w:cs="Arial"/>
            <w:color w:val="004494"/>
          </w:rPr>
          <w:t>programul Orizont Europa</w:t>
        </w:r>
      </w:hyperlink>
      <w:hyperlink r:id="rId142" w:history="1"/>
      <w:r w:rsidRPr="00277818">
        <w:rPr>
          <w:rFonts w:ascii="Verdana" w:hAnsi="Verdana"/>
          <w:color w:val="404040"/>
          <w:sz w:val="18"/>
          <w:szCs w:val="18"/>
        </w:rPr>
        <w:t> și la </w:t>
      </w:r>
      <w:hyperlink r:id="rId143" w:history="1">
        <w:r w:rsidRPr="00277818">
          <w:rPr>
            <w:rStyle w:val="Hyperlink"/>
            <w:rFonts w:cs="Arial"/>
            <w:color w:val="004494"/>
          </w:rPr>
          <w:t>Programul pentru cercetare și formare al Euratom</w:t>
        </w:r>
      </w:hyperlink>
      <w:hyperlink r:id="rId144" w:history="1"/>
      <w:r w:rsidRPr="00277818">
        <w:rPr>
          <w:rFonts w:ascii="Verdana" w:hAnsi="Verdana"/>
          <w:color w:val="404040"/>
          <w:sz w:val="18"/>
          <w:szCs w:val="18"/>
        </w:rPr>
        <w:t> a intrat în vigoare </w:t>
      </w:r>
      <w:hyperlink r:id="rId145" w:history="1">
        <w:r w:rsidRPr="00277818">
          <w:rPr>
            <w:rStyle w:val="Hyperlink"/>
            <w:rFonts w:cs="Arial"/>
            <w:color w:val="004494"/>
          </w:rPr>
          <w:t>astăzi</w:t>
        </w:r>
      </w:hyperlink>
      <w:hyperlink r:id="rId146" w:history="1"/>
      <w:r w:rsidRPr="00277818">
        <w:rPr>
          <w:rFonts w:ascii="Verdana" w:hAnsi="Verdana"/>
          <w:color w:val="404040"/>
          <w:sz w:val="18"/>
          <w:szCs w:val="18"/>
        </w:rPr>
        <w:t>, după ce a fost ratificat de Ucraina. Acordul a fost semnat la 12 octombrie 2021, cu ocazia Summitului UE-Ucraina. În prezent, cercetătorii și inovatorii, universitățile și întreprinderile, inclusiv întreprinderile mici și mijlocii (IMM-uri), din UE și din Ucraina au posibilitatea de a colabora în condiții de egalitate, pentru a atinge obiectivele comune și pentru a aborda provocările critice. Întrucât Rusia își continuă războiul de agresiune în Ucraina, iar UE și-a asumat angajamentul de a oferi mijloace concrete de sprijin comunității ucrainene de cercetare și inovare, Ucraina va participa la programul Orizont Europa și la programul Euratom fără a fi nevoită să achite contribuția financiară pentru anii 2021 și 2022. Contribuția respectivă a fost estimată la aproximativ 20 de milioane EUR.</w:t>
      </w:r>
    </w:p>
    <w:p w14:paraId="655C93D9" w14:textId="3038BF8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lastRenderedPageBreak/>
        <w:t>Acest sprijin vine în completarea inițiativelor „</w:t>
      </w:r>
      <w:hyperlink r:id="rId147" w:history="1">
        <w:r w:rsidRPr="00277818">
          <w:rPr>
            <w:rStyle w:val="Hyperlink"/>
            <w:rFonts w:cs="Arial"/>
            <w:color w:val="004494"/>
          </w:rPr>
          <w:t>Spațiul european de cercetare pentru Ucraina</w:t>
        </w:r>
      </w:hyperlink>
      <w:hyperlink r:id="rId148" w:history="1"/>
      <w:r w:rsidRPr="00277818">
        <w:rPr>
          <w:rFonts w:ascii="Verdana" w:hAnsi="Verdana"/>
          <w:color w:val="404040"/>
          <w:sz w:val="18"/>
          <w:szCs w:val="18"/>
        </w:rPr>
        <w:t>” (ERA4Ukraine), </w:t>
      </w:r>
      <w:hyperlink r:id="rId149" w:history="1">
        <w:r w:rsidRPr="00277818">
          <w:rPr>
            <w:rStyle w:val="Hyperlink"/>
            <w:rFonts w:cs="Arial"/>
            <w:color w:val="004494"/>
          </w:rPr>
          <w:t>Horizon4Ukraine</w:t>
        </w:r>
      </w:hyperlink>
      <w:r w:rsidRPr="00277818">
        <w:rPr>
          <w:rFonts w:ascii="Verdana" w:hAnsi="Verdana"/>
          <w:color w:val="404040"/>
          <w:sz w:val="18"/>
          <w:szCs w:val="18"/>
        </w:rPr>
        <w:t> și </w:t>
      </w:r>
      <w:hyperlink r:id="rId150" w:history="1">
        <w:r w:rsidRPr="00277818">
          <w:rPr>
            <w:rStyle w:val="Hyperlink"/>
            <w:rFonts w:cs="Arial"/>
            <w:color w:val="004494"/>
          </w:rPr>
          <w:t>CEC pentru Ucraina</w:t>
        </w:r>
      </w:hyperlink>
      <w:r w:rsidRPr="00277818">
        <w:rPr>
          <w:rFonts w:ascii="Verdana" w:hAnsi="Verdana"/>
          <w:color w:val="404040"/>
          <w:sz w:val="18"/>
          <w:szCs w:val="18"/>
        </w:rPr>
        <w:t>, precum și a programului specific de burse în valoare de 25 de milioane EUR acordate în cadrul acțiunilor Marie Skłodowska-Curie pentru cercetătorii strămutați din Ucraina.</w:t>
      </w:r>
    </w:p>
    <w:p w14:paraId="2BA0E2BF" w14:textId="77777777" w:rsidR="0072258E" w:rsidRPr="00706B2C" w:rsidRDefault="0072258E" w:rsidP="00706B2C">
      <w:pPr>
        <w:rPr>
          <w:b/>
        </w:rPr>
      </w:pPr>
      <w:r w:rsidRPr="00706B2C">
        <w:rPr>
          <w:b/>
        </w:rPr>
        <w:t>Context</w:t>
      </w:r>
    </w:p>
    <w:p w14:paraId="562776FA"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În februarie 2022, Comisia a adoptat programul de lucru anual al CEI, deschizând oportunități de finanțare în valoare de peste 1,7 miliarde EUR în 2022. Lansat în martie 2021 ca principală noutate a programului Orizont Europa, CEI dispune de un buget general de peste 10 miliarde EUR în perioada 2021-2027. În vederea mobilizării tuturor resurselor posibile și pentru a oferi sprijin Ucrainei în aceste vremuri dificile, programul de lucru al CEI a fost modificat pentru a lansa o cerere suplimentară de propuneri vizând comunitatea de tehnologie profundă din Ucraina, care prezintă un puternic potențial pentru crearea de inovații revoluționare. În ultimii ani, sectorul întreprinderilor nou-înființate din Ucraina a crescut în mod constant, contribuind tot mai mult la creșterea economică a țării. Acțiunea prezentată astăzi ar trebui să consolideze ecosistemele tehnologice ucrainene și să sprijine soluții inovatoare pentru reconstruirea economiei și a infrastructurii Ucrainei după război.</w:t>
      </w:r>
    </w:p>
    <w:p w14:paraId="430C3A80" w14:textId="77777777" w:rsidR="0072258E" w:rsidRPr="00277818" w:rsidRDefault="0072258E" w:rsidP="00277818">
      <w:pPr>
        <w:pStyle w:val="NormalWeb"/>
        <w:spacing w:before="120" w:beforeAutospacing="0" w:after="0" w:afterAutospacing="0"/>
        <w:rPr>
          <w:rFonts w:ascii="Verdana" w:hAnsi="Verdana"/>
          <w:color w:val="404040"/>
          <w:sz w:val="18"/>
          <w:szCs w:val="18"/>
        </w:rPr>
      </w:pPr>
      <w:r w:rsidRPr="00277818">
        <w:rPr>
          <w:rFonts w:ascii="Verdana" w:hAnsi="Verdana"/>
          <w:color w:val="404040"/>
          <w:sz w:val="18"/>
          <w:szCs w:val="18"/>
        </w:rPr>
        <w:t>Relațiile dintre UE și Ucraina în domeniul cercetării și al inovării datează din 2002, an în care Comunitatea Europeană și Ucraina au semnat un acord de cooperare în domeniul științei și al tehnologiei. În 2015, Ucraina s-a asociat pe deplin la Orizont 2020, programul de cercetare și inovare al UE pentru perioada 2014-2020, ceea ce a permis unui număr de 170 de entități ucrainene să primească finanțare din partea UE în valoare de aproape 46 de milioane EUR și să își demonstreze excelența și calitățile de lideri în materie de inovare atât în sectorul mobilității cercetătorilor, cât și în cel al transporturilor și al energiei. În 2016, Ucraina și UE au încheiat, de asemenea, un acord de asociere al acestei țări la Programul pentru cercetare și formare al Euratom. Scopul programului este de a îmbunătăți nivelurile de securitate nucleară și de protecție radiologică. La 10 mai 2022, Comisia a anunțat oficial lansarea noului program </w:t>
      </w:r>
      <w:hyperlink r:id="rId151" w:history="1">
        <w:r w:rsidRPr="00277818">
          <w:rPr>
            <w:rStyle w:val="Hyperlink"/>
            <w:rFonts w:cs="Arial"/>
            <w:color w:val="004494"/>
          </w:rPr>
          <w:t>MSCA4Ukraine</w:t>
        </w:r>
      </w:hyperlink>
      <w:r w:rsidRPr="00277818">
        <w:rPr>
          <w:rFonts w:ascii="Verdana" w:hAnsi="Verdana"/>
          <w:color w:val="404040"/>
          <w:sz w:val="18"/>
          <w:szCs w:val="18"/>
        </w:rPr>
        <w:t> în cadru acțiunilor Marie Skłodowska-Curie. Acest nou program, cu un buget de 25 de milioane EUR, le va permite oamenilor de știință din Ucraina să își continue activitatea în Europa și în țările asociate la programul Orizont Europa, contribuind la protejarea sistemului de cercetare și de inovare al Ucrainei, precum și a libertății cercetării științifice în general.</w:t>
      </w:r>
    </w:p>
    <w:p w14:paraId="472D06A2" w14:textId="77777777" w:rsidR="0072258E" w:rsidRPr="00706B2C" w:rsidRDefault="0072258E" w:rsidP="00706B2C">
      <w:pPr>
        <w:rPr>
          <w:b/>
        </w:rPr>
      </w:pPr>
      <w:r w:rsidRPr="00706B2C">
        <w:rPr>
          <w:b/>
        </w:rPr>
        <w:t>Pentru informații suplimentare</w:t>
      </w:r>
    </w:p>
    <w:p w14:paraId="25644F4B" w14:textId="30A6F736" w:rsidR="0072258E" w:rsidRPr="00277818" w:rsidRDefault="0072258E" w:rsidP="00277818">
      <w:pPr>
        <w:pStyle w:val="NormalWeb"/>
        <w:spacing w:before="120" w:beforeAutospacing="0" w:after="0" w:afterAutospacing="0"/>
        <w:rPr>
          <w:rFonts w:ascii="Verdana" w:hAnsi="Verdana"/>
          <w:color w:val="404040"/>
          <w:sz w:val="18"/>
          <w:szCs w:val="18"/>
        </w:rPr>
      </w:pPr>
      <w:hyperlink r:id="rId152" w:history="1">
        <w:r w:rsidRPr="00277818">
          <w:rPr>
            <w:rStyle w:val="Hyperlink"/>
            <w:rFonts w:cs="Arial"/>
            <w:color w:val="004494"/>
          </w:rPr>
          <w:t>Programul de lucru al CEI pentru 2022</w:t>
        </w:r>
      </w:hyperlink>
      <w:hyperlink r:id="rId153" w:history="1"/>
    </w:p>
    <w:p w14:paraId="1442ACF1" w14:textId="77777777" w:rsidR="0072258E" w:rsidRPr="00277818" w:rsidRDefault="0072258E" w:rsidP="00277818">
      <w:pPr>
        <w:pStyle w:val="NormalWeb"/>
        <w:spacing w:before="120" w:beforeAutospacing="0" w:after="0" w:afterAutospacing="0"/>
        <w:rPr>
          <w:rFonts w:ascii="Verdana" w:hAnsi="Verdana"/>
          <w:color w:val="404040"/>
          <w:sz w:val="18"/>
          <w:szCs w:val="18"/>
        </w:rPr>
      </w:pPr>
      <w:hyperlink r:id="rId154" w:history="1">
        <w:r w:rsidRPr="00277818">
          <w:rPr>
            <w:rStyle w:val="Hyperlink"/>
            <w:rFonts w:cs="Arial"/>
            <w:color w:val="004494"/>
          </w:rPr>
          <w:t>Fișă informativă privind Acțiunea CEI pentru Ucraina</w:t>
        </w:r>
      </w:hyperlink>
    </w:p>
    <w:p w14:paraId="5CF151F8" w14:textId="10669036" w:rsidR="0072258E" w:rsidRPr="00277818" w:rsidRDefault="0072258E" w:rsidP="00277818">
      <w:pPr>
        <w:pStyle w:val="NormalWeb"/>
        <w:spacing w:before="120" w:beforeAutospacing="0" w:after="0" w:afterAutospacing="0"/>
        <w:rPr>
          <w:rFonts w:ascii="Verdana" w:hAnsi="Verdana"/>
          <w:color w:val="404040"/>
          <w:sz w:val="18"/>
          <w:szCs w:val="18"/>
        </w:rPr>
      </w:pPr>
      <w:hyperlink r:id="rId155" w:history="1">
        <w:r w:rsidRPr="00277818">
          <w:rPr>
            <w:rStyle w:val="Hyperlink"/>
            <w:rFonts w:cs="Arial"/>
            <w:color w:val="004494"/>
          </w:rPr>
          <w:t>Raportul privind impactul CEI pentru 2021</w:t>
        </w:r>
      </w:hyperlink>
      <w:hyperlink r:id="rId156" w:history="1"/>
    </w:p>
    <w:p w14:paraId="30E28EAE" w14:textId="77777777" w:rsidR="0072258E" w:rsidRPr="00277818" w:rsidRDefault="0072258E" w:rsidP="00277818">
      <w:pPr>
        <w:pStyle w:val="NormalWeb"/>
        <w:spacing w:before="120" w:beforeAutospacing="0" w:after="0" w:afterAutospacing="0"/>
        <w:rPr>
          <w:rFonts w:ascii="Verdana" w:hAnsi="Verdana"/>
          <w:color w:val="404040"/>
          <w:sz w:val="18"/>
          <w:szCs w:val="18"/>
        </w:rPr>
      </w:pPr>
      <w:hyperlink r:id="rId157" w:history="1">
        <w:r w:rsidRPr="00277818">
          <w:rPr>
            <w:rStyle w:val="Hyperlink"/>
            <w:rFonts w:cs="Arial"/>
            <w:color w:val="004494"/>
          </w:rPr>
          <w:t>Portalul de finanțare și licitații</w:t>
        </w:r>
      </w:hyperlink>
    </w:p>
    <w:p w14:paraId="7E887F26" w14:textId="77777777" w:rsidR="0072258E" w:rsidRPr="00277818" w:rsidRDefault="0072258E" w:rsidP="00277818">
      <w:pPr>
        <w:pStyle w:val="NormalWeb"/>
        <w:spacing w:before="120" w:beforeAutospacing="0" w:after="0" w:afterAutospacing="0"/>
        <w:rPr>
          <w:rFonts w:ascii="Verdana" w:hAnsi="Verdana"/>
          <w:color w:val="404040"/>
          <w:sz w:val="18"/>
          <w:szCs w:val="18"/>
        </w:rPr>
      </w:pPr>
      <w:hyperlink r:id="rId158" w:history="1">
        <w:r w:rsidRPr="00277818">
          <w:rPr>
            <w:rStyle w:val="Hyperlink"/>
            <w:rFonts w:cs="Arial"/>
            <w:color w:val="004494"/>
          </w:rPr>
          <w:t>ERA4Ukraine</w:t>
        </w:r>
      </w:hyperlink>
    </w:p>
    <w:p w14:paraId="5582E21E" w14:textId="49B726EE" w:rsidR="0072258E" w:rsidRPr="00277818" w:rsidRDefault="0072258E" w:rsidP="00277818">
      <w:pPr>
        <w:pStyle w:val="NormalWeb"/>
        <w:spacing w:before="120" w:beforeAutospacing="0" w:after="0" w:afterAutospacing="0"/>
        <w:rPr>
          <w:rFonts w:ascii="Verdana" w:hAnsi="Verdana"/>
          <w:color w:val="404040"/>
          <w:sz w:val="18"/>
          <w:szCs w:val="18"/>
        </w:rPr>
      </w:pPr>
      <w:hyperlink r:id="rId159" w:history="1">
        <w:r w:rsidRPr="00277818">
          <w:rPr>
            <w:rStyle w:val="Hyperlink"/>
            <w:rFonts w:cs="Arial"/>
            <w:color w:val="004494"/>
          </w:rPr>
          <w:t>Cooperare internațională pentru cercetare și inovare - Ucraina</w:t>
        </w:r>
      </w:hyperlink>
      <w:hyperlink r:id="rId160" w:history="1"/>
    </w:p>
    <w:p w14:paraId="192988EB" w14:textId="125D64F6" w:rsidR="0072258E" w:rsidRPr="00277818" w:rsidRDefault="0072258E" w:rsidP="00277818">
      <w:pPr>
        <w:pStyle w:val="NormalWeb"/>
        <w:spacing w:before="120" w:beforeAutospacing="0" w:after="0" w:afterAutospacing="0"/>
        <w:rPr>
          <w:rFonts w:ascii="Verdana" w:hAnsi="Verdana"/>
          <w:color w:val="404040"/>
          <w:sz w:val="18"/>
          <w:szCs w:val="18"/>
        </w:rPr>
      </w:pPr>
      <w:hyperlink r:id="rId161" w:history="1">
        <w:r w:rsidRPr="00277818">
          <w:rPr>
            <w:rStyle w:val="Hyperlink"/>
            <w:rFonts w:cs="Arial"/>
            <w:color w:val="004494"/>
          </w:rPr>
          <w:t>Orizont Europa</w:t>
        </w:r>
      </w:hyperlink>
      <w:hyperlink r:id="rId162" w:history="1"/>
    </w:p>
    <w:p w14:paraId="6976680D" w14:textId="23F6E572" w:rsidR="0072258E" w:rsidRPr="00277818" w:rsidRDefault="0072258E" w:rsidP="00277818">
      <w:pPr>
        <w:pStyle w:val="NormalWeb"/>
        <w:spacing w:before="120" w:beforeAutospacing="0" w:after="0" w:afterAutospacing="0"/>
        <w:rPr>
          <w:rFonts w:ascii="Verdana" w:hAnsi="Verdana"/>
          <w:color w:val="404040"/>
          <w:sz w:val="18"/>
          <w:szCs w:val="18"/>
        </w:rPr>
      </w:pPr>
      <w:hyperlink r:id="rId163" w:history="1">
        <w:r w:rsidRPr="00277818">
          <w:rPr>
            <w:rStyle w:val="Hyperlink"/>
            <w:rFonts w:cs="Arial"/>
            <w:color w:val="004494"/>
          </w:rPr>
          <w:t>Euratom</w:t>
        </w:r>
      </w:hyperlink>
      <w:hyperlink r:id="rId164" w:history="1"/>
    </w:p>
    <w:p w14:paraId="7E829BE7" w14:textId="51CD031B" w:rsidR="0072258E" w:rsidRPr="00277818" w:rsidRDefault="0072258E" w:rsidP="00277818">
      <w:pPr>
        <w:pStyle w:val="NormalWeb"/>
        <w:spacing w:before="120" w:beforeAutospacing="0" w:after="0" w:afterAutospacing="0"/>
        <w:rPr>
          <w:rFonts w:ascii="Verdana" w:hAnsi="Verdana"/>
          <w:color w:val="404040"/>
          <w:sz w:val="18"/>
          <w:szCs w:val="18"/>
        </w:rPr>
      </w:pPr>
      <w:hyperlink r:id="rId165" w:history="1">
        <w:r w:rsidRPr="00277818">
          <w:rPr>
            <w:rStyle w:val="Hyperlink"/>
            <w:rFonts w:cs="Arial"/>
            <w:color w:val="004494"/>
          </w:rPr>
          <w:t>Abordarea globală a Europei în materie de cercetare și inovare</w:t>
        </w:r>
      </w:hyperlink>
      <w:hyperlink r:id="rId166" w:history="1"/>
    </w:p>
    <w:p w14:paraId="477B5E05" w14:textId="1D9CD38A" w:rsidR="0072258E" w:rsidRPr="0072258E" w:rsidRDefault="0072258E" w:rsidP="00706B2C">
      <w:pPr>
        <w:pStyle w:val="separatorarticole"/>
      </w:pPr>
      <w:r>
        <w:t>*</w:t>
      </w:r>
    </w:p>
    <w:p w14:paraId="44F6CCDE" w14:textId="77777777" w:rsidR="000B1F81" w:rsidRPr="00094459" w:rsidRDefault="000B1F81" w:rsidP="00094459">
      <w:pPr>
        <w:pStyle w:val="TitluArticolinINFOUE"/>
        <w:rPr>
          <w:lang w:eastAsia="ro-RO"/>
        </w:rPr>
      </w:pPr>
      <w:bookmarkStart w:id="186" w:name="_Toc106112284"/>
      <w:r w:rsidRPr="00094459">
        <w:t>Mai multe programe Interreg vor beneficia de o finanțare majorată pentru anul 2022!</w:t>
      </w:r>
      <w:bookmarkEnd w:id="186"/>
    </w:p>
    <w:p w14:paraId="624EF83A" w14:textId="77777777" w:rsidR="000B1F81" w:rsidRPr="00094459" w:rsidRDefault="000B1F81" w:rsidP="00094459">
      <w:pPr>
        <w:pStyle w:val="NormalWeb"/>
        <w:spacing w:before="120" w:beforeAutospacing="0" w:after="0" w:afterAutospacing="0"/>
        <w:rPr>
          <w:rFonts w:ascii="Verdana" w:hAnsi="Verdana"/>
          <w:sz w:val="18"/>
          <w:szCs w:val="18"/>
        </w:rPr>
      </w:pPr>
      <w:r w:rsidRPr="00094459">
        <w:rPr>
          <w:rFonts w:ascii="Verdana" w:hAnsi="Verdana"/>
          <w:sz w:val="18"/>
          <w:szCs w:val="18"/>
        </w:rPr>
        <w:t>Vineri, 3 iunie 2022, Comisia a propus transferul sumei de </w:t>
      </w:r>
      <w:r w:rsidRPr="00094459">
        <w:rPr>
          <w:rStyle w:val="Strong"/>
        </w:rPr>
        <w:t>26,2 milioane de euro</w:t>
      </w:r>
      <w:r w:rsidRPr="00094459">
        <w:rPr>
          <w:rFonts w:ascii="Verdana" w:hAnsi="Verdana"/>
          <w:sz w:val="18"/>
          <w:szCs w:val="18"/>
        </w:rPr>
        <w:t> din cadrul Instrumentului de vecinătate, cooperare pentru dezvoltare și cooperare internațională, care fusese planificată inițial pentru programele </w:t>
      </w:r>
      <w:r w:rsidRPr="00094459">
        <w:rPr>
          <w:rStyle w:val="Strong"/>
        </w:rPr>
        <w:t>Interreg NEXT 2021-2027</w:t>
      </w:r>
      <w:r w:rsidRPr="00094459">
        <w:rPr>
          <w:rFonts w:ascii="Verdana" w:hAnsi="Verdana"/>
          <w:sz w:val="18"/>
          <w:szCs w:val="18"/>
        </w:rPr>
        <w:t> cu Rusia și Belarus, către programele similare cu </w:t>
      </w:r>
      <w:r w:rsidRPr="00094459">
        <w:rPr>
          <w:rStyle w:val="Strong"/>
        </w:rPr>
        <w:t>Ucraina</w:t>
      </w:r>
      <w:r w:rsidRPr="00094459">
        <w:rPr>
          <w:rFonts w:ascii="Verdana" w:hAnsi="Verdana"/>
          <w:sz w:val="18"/>
          <w:szCs w:val="18"/>
        </w:rPr>
        <w:t> și </w:t>
      </w:r>
      <w:r w:rsidRPr="00094459">
        <w:rPr>
          <w:rStyle w:val="Strong"/>
        </w:rPr>
        <w:t>Republica Moldova</w:t>
      </w:r>
      <w:r w:rsidRPr="00094459">
        <w:rPr>
          <w:rFonts w:ascii="Verdana" w:hAnsi="Verdana"/>
          <w:sz w:val="18"/>
          <w:szCs w:val="18"/>
        </w:rPr>
        <w:t>.</w:t>
      </w:r>
    </w:p>
    <w:p w14:paraId="0A95AE3A" w14:textId="77777777" w:rsidR="000B1F81" w:rsidRPr="00094459" w:rsidRDefault="000B1F81" w:rsidP="00094459">
      <w:pPr>
        <w:pStyle w:val="NormalWeb"/>
        <w:spacing w:before="120" w:beforeAutospacing="0" w:after="0" w:afterAutospacing="0"/>
        <w:rPr>
          <w:rFonts w:ascii="Verdana" w:hAnsi="Verdana"/>
          <w:sz w:val="18"/>
          <w:szCs w:val="18"/>
        </w:rPr>
      </w:pPr>
      <w:r w:rsidRPr="00094459">
        <w:rPr>
          <w:rFonts w:ascii="Verdana" w:hAnsi="Verdana"/>
          <w:sz w:val="18"/>
          <w:szCs w:val="18"/>
        </w:rPr>
        <w:t>Patru programe Interreg transfrontaliere care implică Ucraina și Moldova, Ungaria/Slovacia/România/Ucraina, Polonia/Ucraina, România/Moldova, România/Ucraina – și două programe transnaționale – Programul transnațional pentru regiunea Dunării și Interreg NEXT privind bazinul Mării Negre – vor beneficia de o </w:t>
      </w:r>
      <w:r w:rsidRPr="00094459">
        <w:rPr>
          <w:rStyle w:val="Strong"/>
        </w:rPr>
        <w:t>finanțare majorată cu 68 % pentru anul 2022</w:t>
      </w:r>
      <w:r w:rsidRPr="00094459">
        <w:rPr>
          <w:rFonts w:ascii="Verdana" w:hAnsi="Verdana"/>
          <w:sz w:val="18"/>
          <w:szCs w:val="18"/>
        </w:rPr>
        <w:t>.</w:t>
      </w:r>
    </w:p>
    <w:p w14:paraId="2B49A2CA" w14:textId="77777777" w:rsidR="000B1F81" w:rsidRPr="00094459" w:rsidRDefault="000B1F81" w:rsidP="00094459">
      <w:pPr>
        <w:pStyle w:val="NormalWeb"/>
        <w:spacing w:before="120" w:beforeAutospacing="0" w:after="0" w:afterAutospacing="0"/>
        <w:rPr>
          <w:rFonts w:ascii="Verdana" w:hAnsi="Verdana"/>
          <w:sz w:val="18"/>
          <w:szCs w:val="18"/>
        </w:rPr>
      </w:pPr>
      <w:r w:rsidRPr="00094459">
        <w:rPr>
          <w:rFonts w:ascii="Verdana" w:hAnsi="Verdana"/>
          <w:sz w:val="18"/>
          <w:szCs w:val="18"/>
        </w:rPr>
        <w:lastRenderedPageBreak/>
        <w:t>Aceste fonduri pot sprijini dezvoltarea serviciilor de sănătate, pot consolida capacitatea instituțională a autorităților publice ucrainene și moldovene, pot finanța dezvoltarea de proiecte de educație și cercetare sau sisteme de incluziune socială și programe de formare profesională pentru refugiați.</w:t>
      </w:r>
    </w:p>
    <w:p w14:paraId="42F6F04E" w14:textId="77777777" w:rsidR="000B1F81" w:rsidRPr="00094459" w:rsidRDefault="000B1F81" w:rsidP="00094459">
      <w:pPr>
        <w:pStyle w:val="Stilsursa"/>
      </w:pPr>
      <w:r w:rsidRPr="00094459">
        <w:t>Sursa: Reprezentanța Comisiei Europene în România</w:t>
      </w:r>
    </w:p>
    <w:p w14:paraId="1E898810" w14:textId="0B8916A4" w:rsidR="000B1F81" w:rsidRPr="00094459" w:rsidRDefault="000B1F81" w:rsidP="00094459">
      <w:pPr>
        <w:pStyle w:val="separatorarticole"/>
      </w:pPr>
      <w:r w:rsidRPr="00094459">
        <w:t>*</w:t>
      </w:r>
    </w:p>
    <w:p w14:paraId="4A06A1F1" w14:textId="77777777" w:rsidR="00424000" w:rsidRPr="00094459" w:rsidRDefault="00424000" w:rsidP="00094459">
      <w:pPr>
        <w:pStyle w:val="TitluArticolinINFOUE"/>
        <w:rPr>
          <w:lang w:eastAsia="ro-RO"/>
        </w:rPr>
      </w:pPr>
      <w:bookmarkStart w:id="187" w:name="_Toc106112285"/>
      <w:r w:rsidRPr="00094459">
        <w:t>Culoarele de solidaritate: Comisia Europeană lansează o platformă de cooperare între întreprinderile din UE și din Ucraina</w:t>
      </w:r>
      <w:bookmarkEnd w:id="187"/>
    </w:p>
    <w:p w14:paraId="7B7F6507" w14:textId="77777777" w:rsidR="00424000" w:rsidRPr="00094459" w:rsidRDefault="00424000" w:rsidP="00094459">
      <w:pPr>
        <w:pStyle w:val="ecl-page-header-standardiseddescription"/>
        <w:spacing w:before="120" w:beforeAutospacing="0" w:after="0" w:afterAutospacing="0"/>
        <w:rPr>
          <w:rFonts w:ascii="Verdana" w:hAnsi="Verdana" w:cs="Arial"/>
          <w:color w:val="404040"/>
          <w:sz w:val="18"/>
          <w:szCs w:val="18"/>
        </w:rPr>
      </w:pPr>
      <w:r w:rsidRPr="00094459">
        <w:rPr>
          <w:rFonts w:ascii="Verdana" w:hAnsi="Verdana" w:cs="Arial"/>
          <w:color w:val="404040"/>
          <w:sz w:val="18"/>
          <w:szCs w:val="18"/>
        </w:rPr>
        <w:t>După invadarea nejustificată de către Rusia și blocarea porturilor sale maritime, Ucraina nu a mai fost în măsură să își exporte produsele către destinații din întreaga lume prin porturile sale de la Marea Neagră.</w:t>
      </w:r>
    </w:p>
    <w:p w14:paraId="620DF7E0" w14:textId="6431526A" w:rsidR="00424000" w:rsidRPr="00094459" w:rsidRDefault="00424000" w:rsidP="00094459">
      <w:pPr>
        <w:rPr>
          <w:color w:val="404040"/>
          <w:szCs w:val="18"/>
        </w:rPr>
      </w:pPr>
      <w:r w:rsidRPr="00094459">
        <w:rPr>
          <w:noProof/>
          <w:szCs w:val="18"/>
          <w:lang w:eastAsia="ro-RO"/>
        </w:rPr>
        <w:drawing>
          <wp:anchor distT="0" distB="0" distL="114300" distR="114300" simplePos="0" relativeHeight="252129280" behindDoc="0" locked="0" layoutInCell="1" allowOverlap="1" wp14:anchorId="3238E255" wp14:editId="0B62B11D">
            <wp:simplePos x="0" y="0"/>
            <wp:positionH relativeFrom="column">
              <wp:posOffset>-1593</wp:posOffset>
            </wp:positionH>
            <wp:positionV relativeFrom="paragraph">
              <wp:posOffset>71911</wp:posOffset>
            </wp:positionV>
            <wp:extent cx="1843523" cy="1233481"/>
            <wp:effectExtent l="0" t="0" r="4445" b="5080"/>
            <wp:wrapSquare wrapText="bothSides"/>
            <wp:docPr id="26" name="Picture 26" descr="CuloareSolida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loareSolidaritate"/>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843523" cy="1233481"/>
                    </a:xfrm>
                    <a:prstGeom prst="rect">
                      <a:avLst/>
                    </a:prstGeom>
                    <a:noFill/>
                    <a:ln>
                      <a:noFill/>
                    </a:ln>
                  </pic:spPr>
                </pic:pic>
              </a:graphicData>
            </a:graphic>
          </wp:anchor>
        </w:drawing>
      </w:r>
      <w:r w:rsidRPr="00094459">
        <w:rPr>
          <w:color w:val="404040"/>
          <w:szCs w:val="18"/>
        </w:rPr>
        <w:t>Este nevoie urgentă de măsuri suplimentare pentru a se evita amenințările la adresa securității alimentare mondiale. Uniunea Europeană ia măsuri concrete pentru a facilita exporturile de produse agricole din Ucraina și pentru a sprijini sectorul agricol ucrainean în 2022. În acest sens, Comisia Europeană colaborează îndeaproape cu statele membre, cu autoritățile ucrainene și cu operatorii care au misiunea de a accelera lucrările privind „culoarele de solidaritate”, pentru a facilita exporturile de alimente din Ucraina prin diferite rute terestre și porturi din UE.</w:t>
      </w:r>
    </w:p>
    <w:p w14:paraId="4CEB47DB" w14:textId="77777777" w:rsidR="00424000" w:rsidRPr="00094459" w:rsidRDefault="00424000" w:rsidP="00094459">
      <w:pPr>
        <w:pStyle w:val="NormalWeb"/>
        <w:spacing w:before="120" w:beforeAutospacing="0" w:after="0" w:afterAutospacing="0"/>
        <w:rPr>
          <w:rFonts w:ascii="Verdana" w:hAnsi="Verdana"/>
          <w:color w:val="404040"/>
          <w:sz w:val="18"/>
          <w:szCs w:val="18"/>
        </w:rPr>
      </w:pPr>
      <w:r w:rsidRPr="00094459">
        <w:rPr>
          <w:rFonts w:ascii="Verdana" w:hAnsi="Verdana"/>
          <w:color w:val="404040"/>
          <w:sz w:val="18"/>
          <w:szCs w:val="18"/>
        </w:rPr>
        <w:t>Pentru a găsi soluții pragmatice, Comisia a pus la dispoziție, prin intermediul Rețelei întreprinderilor europene, un </w:t>
      </w:r>
      <w:hyperlink r:id="rId168" w:anchor="_blank" w:history="1">
        <w:r w:rsidRPr="00094459">
          <w:rPr>
            <w:rStyle w:val="Hyperlink"/>
            <w:rFonts w:cs="Arial"/>
            <w:color w:val="004494"/>
          </w:rPr>
          <w:t>instrument de cooperare</w:t>
        </w:r>
      </w:hyperlink>
      <w:r w:rsidRPr="00094459">
        <w:rPr>
          <w:rFonts w:ascii="Verdana" w:hAnsi="Verdana"/>
          <w:color w:val="404040"/>
          <w:sz w:val="18"/>
          <w:szCs w:val="18"/>
        </w:rPr>
        <w:t> între întreprinderile din UE și Ucraina.</w:t>
      </w:r>
    </w:p>
    <w:p w14:paraId="79308395" w14:textId="77777777" w:rsidR="00424000" w:rsidRPr="00094459" w:rsidRDefault="00424000" w:rsidP="00094459">
      <w:pPr>
        <w:pStyle w:val="NormalWeb"/>
        <w:spacing w:before="120" w:beforeAutospacing="0" w:after="0" w:afterAutospacing="0"/>
        <w:rPr>
          <w:rFonts w:ascii="Verdana" w:hAnsi="Verdana"/>
          <w:color w:val="404040"/>
          <w:sz w:val="18"/>
          <w:szCs w:val="18"/>
        </w:rPr>
      </w:pPr>
      <w:r w:rsidRPr="00094459">
        <w:rPr>
          <w:rFonts w:ascii="Verdana" w:hAnsi="Verdana"/>
          <w:color w:val="404040"/>
          <w:sz w:val="18"/>
          <w:szCs w:val="18"/>
        </w:rPr>
        <w:t>Comisarul pentru transporturi, Adina </w:t>
      </w:r>
      <w:r w:rsidRPr="00094459">
        <w:rPr>
          <w:rStyle w:val="Strong"/>
          <w:color w:val="404040"/>
        </w:rPr>
        <w:t>Vălean</w:t>
      </w:r>
      <w:r w:rsidRPr="00094459">
        <w:rPr>
          <w:rFonts w:ascii="Verdana" w:hAnsi="Verdana"/>
          <w:color w:val="404040"/>
          <w:sz w:val="18"/>
          <w:szCs w:val="18"/>
        </w:rPr>
        <w:t>, a declarat: </w:t>
      </w:r>
      <w:r w:rsidRPr="00094459">
        <w:rPr>
          <w:rStyle w:val="Emphasis"/>
          <w:color w:val="404040"/>
        </w:rPr>
        <w:t>„Milioane de tone de cereale sunt blocate în Ucraina și trebuie să ne unim forțele fără a ține cont de sectoare și frontiere pentru a le debloca: întreprinderi care caută modalități de sprijinire a exporturilor din Ucraina, societăți care oferă soluții de transport sau de depozitare și comercianți ucraineni de cereale care caută parteneri logistici – platforma noastră de cooperare va contribui la crearea de noi parteneriate. Aștept cu interes să le văd în acțiune – fiecare tonă de cereale contează!”</w:t>
      </w:r>
    </w:p>
    <w:p w14:paraId="5534E1F7" w14:textId="77777777" w:rsidR="00424000" w:rsidRPr="00094459" w:rsidRDefault="00424000" w:rsidP="00094459">
      <w:pPr>
        <w:pStyle w:val="NormalWeb"/>
        <w:spacing w:before="120" w:beforeAutospacing="0" w:after="0" w:afterAutospacing="0"/>
        <w:rPr>
          <w:rFonts w:ascii="Verdana" w:hAnsi="Verdana"/>
          <w:color w:val="404040"/>
          <w:sz w:val="18"/>
          <w:szCs w:val="18"/>
        </w:rPr>
      </w:pPr>
      <w:r w:rsidRPr="00094459">
        <w:rPr>
          <w:rFonts w:ascii="Verdana" w:hAnsi="Verdana"/>
          <w:color w:val="404040"/>
          <w:sz w:val="18"/>
          <w:szCs w:val="18"/>
        </w:rPr>
        <w:t>Platforma sprijină punerea în aplicare a </w:t>
      </w:r>
      <w:hyperlink r:id="rId169" w:anchor="_blank" w:history="1">
        <w:r w:rsidRPr="00094459">
          <w:rPr>
            <w:rStyle w:val="Hyperlink"/>
            <w:rFonts w:cs="Arial"/>
            <w:color w:val="004494"/>
          </w:rPr>
          <w:t>Planului de acțiune pentru culoarele de solidaritate UE-Ucraina</w:t>
        </w:r>
      </w:hyperlink>
      <w:r w:rsidRPr="00094459">
        <w:rPr>
          <w:rFonts w:ascii="Verdana" w:hAnsi="Verdana"/>
          <w:color w:val="404040"/>
          <w:sz w:val="18"/>
          <w:szCs w:val="18"/>
        </w:rPr>
        <w:t>, care urmărește să asigure faptul că Ucraina poate exporta cereale și importa bunurile de care are nevoie. Multe acțiuni au fost deja finalizate: punctele naționale de contact specializate funcționează în prezent ca ghișee unice pentru cererile referitoare la țara lor, având rolul de a soluționa problemele logistice și de a stabili care sunt capacitățile de stocare. Statele membre depun eforturi pentru a accelera procedurile la punctele de trecere a frontierei, iar Comisia pregătește încheierea </w:t>
      </w:r>
      <w:hyperlink r:id="rId170" w:anchor="_blank" w:history="1">
        <w:r w:rsidRPr="00094459">
          <w:rPr>
            <w:rStyle w:val="Hyperlink"/>
            <w:rFonts w:cs="Arial"/>
            <w:color w:val="004494"/>
          </w:rPr>
          <w:t>de acorduri privind transportul rutier cu Ucraina și Moldova</w:t>
        </w:r>
      </w:hyperlink>
      <w:r w:rsidRPr="00094459">
        <w:rPr>
          <w:rFonts w:ascii="Verdana" w:hAnsi="Verdana"/>
          <w:color w:val="404040"/>
          <w:sz w:val="18"/>
          <w:szCs w:val="18"/>
        </w:rPr>
        <w:t> în vederea eliminării altor blocaje.</w:t>
      </w:r>
    </w:p>
    <w:p w14:paraId="68CD9DDD" w14:textId="77777777" w:rsidR="00424000" w:rsidRPr="00094459" w:rsidRDefault="00424000" w:rsidP="00094459">
      <w:pPr>
        <w:pStyle w:val="NormalWeb"/>
        <w:spacing w:before="120" w:beforeAutospacing="0" w:after="0" w:afterAutospacing="0"/>
        <w:rPr>
          <w:rFonts w:ascii="Verdana" w:hAnsi="Verdana"/>
          <w:color w:val="404040"/>
          <w:sz w:val="18"/>
          <w:szCs w:val="18"/>
        </w:rPr>
      </w:pPr>
      <w:r w:rsidRPr="00094459">
        <w:rPr>
          <w:rFonts w:ascii="Verdana" w:hAnsi="Verdana"/>
          <w:color w:val="404040"/>
          <w:sz w:val="18"/>
          <w:szCs w:val="18"/>
        </w:rPr>
        <w:t>În paralel cu extinderea coridoarelor TEN-T în Ucraina, conectivitatea sporită dintre UE și Ucraina va pregăti terenul pentru reconstrucția Ucrainei și va contribui la apropierea Ucrainei de UE. Mai multe informații despre culoarele de solidaritate UE-Ucraina sunt disponibile </w:t>
      </w:r>
      <w:hyperlink r:id="rId171" w:anchor="_blank" w:history="1">
        <w:r w:rsidRPr="00094459">
          <w:rPr>
            <w:rStyle w:val="Hyperlink"/>
            <w:rFonts w:cs="Arial"/>
            <w:color w:val="004494"/>
          </w:rPr>
          <w:t>aici</w:t>
        </w:r>
      </w:hyperlink>
      <w:r w:rsidRPr="00094459">
        <w:rPr>
          <w:rFonts w:ascii="Verdana" w:hAnsi="Verdana"/>
          <w:color w:val="404040"/>
          <w:sz w:val="18"/>
          <w:szCs w:val="18"/>
        </w:rPr>
        <w:t>.</w:t>
      </w:r>
    </w:p>
    <w:p w14:paraId="04A3FFA3" w14:textId="0A1ABC56" w:rsidR="00BB23E7" w:rsidRPr="00C734F7" w:rsidRDefault="00BB23E7" w:rsidP="00C734F7">
      <w:pPr>
        <w:pStyle w:val="Stilsursa"/>
        <w:spacing w:before="40"/>
      </w:pPr>
      <w:r w:rsidRPr="00C734F7">
        <w:t xml:space="preserve">Sursa: </w:t>
      </w:r>
      <w:r w:rsidR="00AC21EE" w:rsidRPr="00AC21EE">
        <w:t>https://romania.representation.ec.europa.eu/</w:t>
      </w:r>
      <w:r w:rsidRPr="00C734F7">
        <w:t> </w:t>
      </w:r>
    </w:p>
    <w:p w14:paraId="20632793" w14:textId="37AA2F8B" w:rsidR="00752B24" w:rsidRPr="00752B24" w:rsidRDefault="00752B24" w:rsidP="00752B24">
      <w:pPr>
        <w:spacing w:before="240" w:after="240"/>
        <w:ind w:right="198"/>
        <w:jc w:val="center"/>
        <w:rPr>
          <w:color w:val="9999FF"/>
          <w:spacing w:val="40"/>
          <w:sz w:val="16"/>
          <w:szCs w:val="16"/>
        </w:rPr>
      </w:pPr>
      <w:bookmarkStart w:id="188" w:name="_Hlk96338715"/>
      <w:bookmarkStart w:id="189" w:name="_Hlk96338547"/>
      <w:bookmarkEnd w:id="182"/>
      <w:bookmarkEnd w:id="183"/>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8"/>
          <w:bookmarkEnd w:id="19"/>
          <w:bookmarkEnd w:id="133"/>
          <w:bookmarkEnd w:id="134"/>
          <w:bookmarkEnd w:id="135"/>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bookmarkEnd w:id="188"/>
    <w:bookmarkEnd w:id="189"/>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306065" w:rsidRDefault="00306065" w:rsidP="00FB71DC">
                            <w:pPr>
                              <w:jc w:val="center"/>
                              <w:rPr>
                                <w:b/>
                                <w:smallCaps/>
                                <w:color w:val="000080"/>
                                <w:szCs w:val="18"/>
                                <w:u w:val="single"/>
                              </w:rPr>
                            </w:pPr>
                          </w:p>
                          <w:p w14:paraId="32A750FB" w14:textId="77777777" w:rsidR="00306065" w:rsidRDefault="00306065" w:rsidP="00FB71DC">
                            <w:pPr>
                              <w:jc w:val="center"/>
                              <w:rPr>
                                <w:b/>
                                <w:smallCaps/>
                                <w:color w:val="000080"/>
                                <w:szCs w:val="18"/>
                                <w:u w:val="single"/>
                              </w:rPr>
                            </w:pPr>
                          </w:p>
                          <w:p w14:paraId="57DA7989" w14:textId="77777777" w:rsidR="00306065" w:rsidRPr="00E32729" w:rsidRDefault="00306065" w:rsidP="00FB71DC">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3755A21" w14:textId="77777777" w:rsidR="00306065" w:rsidRPr="00E32729" w:rsidRDefault="00306065" w:rsidP="00FB71DC">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780F8A43" w14:textId="34E921B2" w:rsidR="00306065" w:rsidRPr="00100481" w:rsidRDefault="00306065" w:rsidP="00FB71DC">
                            <w:pPr>
                              <w:pStyle w:val="Textfeedback"/>
                              <w:jc w:val="center"/>
                              <w:rPr>
                                <w:szCs w:val="18"/>
                              </w:rPr>
                            </w:pPr>
                          </w:p>
                          <w:p w14:paraId="07382A4C" w14:textId="77777777" w:rsidR="00306065" w:rsidRDefault="00306065" w:rsidP="00FB71DC">
                            <w:pPr>
                              <w:spacing w:before="200"/>
                              <w:jc w:val="center"/>
                              <w:rPr>
                                <w:b/>
                                <w:smallCaps/>
                                <w:color w:val="000080"/>
                                <w:szCs w:val="18"/>
                              </w:rPr>
                            </w:pPr>
                          </w:p>
                          <w:p w14:paraId="10BB6620" w14:textId="77777777" w:rsidR="00306065" w:rsidRDefault="00306065" w:rsidP="00FB71DC">
                            <w:pPr>
                              <w:spacing w:before="200"/>
                              <w:jc w:val="center"/>
                              <w:rPr>
                                <w:b/>
                                <w:smallCaps/>
                                <w:color w:val="000080"/>
                                <w:szCs w:val="18"/>
                              </w:rPr>
                            </w:pPr>
                          </w:p>
                          <w:p w14:paraId="00499C2A" w14:textId="77777777" w:rsidR="00306065" w:rsidRPr="00E32729" w:rsidRDefault="00306065" w:rsidP="00FB71DC">
                            <w:pPr>
                              <w:jc w:val="center"/>
                              <w:rPr>
                                <w:b/>
                                <w:smallCaps/>
                                <w:color w:val="000080"/>
                                <w:szCs w:val="18"/>
                              </w:rPr>
                            </w:pPr>
                            <w:r w:rsidRPr="00E32729">
                              <w:rPr>
                                <w:b/>
                                <w:smallCaps/>
                                <w:color w:val="000080"/>
                                <w:szCs w:val="18"/>
                              </w:rPr>
                              <w:t>Instituţia Prefectului - Judeţul Hunedoara</w:t>
                            </w:r>
                          </w:p>
                          <w:p w14:paraId="22F8B620" w14:textId="77777777" w:rsidR="00306065" w:rsidRPr="00A16260" w:rsidRDefault="0030606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306065" w:rsidRPr="00A16260" w:rsidRDefault="0030606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306065" w:rsidRDefault="0030606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306065" w:rsidRPr="00A16260" w:rsidRDefault="00306065" w:rsidP="00FB71DC">
                            <w:pPr>
                              <w:spacing w:before="40"/>
                              <w:jc w:val="center"/>
                              <w:rPr>
                                <w:rFonts w:ascii="Book Antiqua" w:hAnsi="Book Antiqua" w:cs="Tahoma"/>
                                <w:b/>
                                <w:szCs w:val="18"/>
                              </w:rPr>
                            </w:pPr>
                          </w:p>
                          <w:p w14:paraId="33D8A147" w14:textId="77777777" w:rsidR="00306065" w:rsidRPr="00C85301" w:rsidRDefault="00306065" w:rsidP="00FB71DC">
                            <w:pPr>
                              <w:spacing w:before="40"/>
                              <w:jc w:val="center"/>
                              <w:rPr>
                                <w:rStyle w:val="Hyperlink"/>
                                <w:rFonts w:ascii="Book Antiqua" w:hAnsi="Book Antiqua"/>
                              </w:rPr>
                            </w:pPr>
                            <w:hyperlink r:id="rId17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306065" w:rsidRPr="00A16260" w:rsidRDefault="00306065"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" fillcolor="#85abcd" strokecolor="gray" strokeweight="5.25pt">
                <v:fill opacity="13107f"/>
                <v:stroke linestyle="thickThin"/>
                <v:textbox>
                  <w:txbxContent>
                    <w:p w14:paraId="11B0472D" w14:textId="77777777" w:rsidR="00306065" w:rsidRDefault="00306065" w:rsidP="00FB71DC">
                      <w:pPr>
                        <w:jc w:val="center"/>
                        <w:rPr>
                          <w:b/>
                          <w:smallCaps/>
                          <w:color w:val="000080"/>
                          <w:szCs w:val="18"/>
                          <w:u w:val="single"/>
                        </w:rPr>
                      </w:pPr>
                    </w:p>
                    <w:p w14:paraId="32A750FB" w14:textId="77777777" w:rsidR="00306065" w:rsidRDefault="00306065" w:rsidP="00FB71DC">
                      <w:pPr>
                        <w:jc w:val="center"/>
                        <w:rPr>
                          <w:b/>
                          <w:smallCaps/>
                          <w:color w:val="000080"/>
                          <w:szCs w:val="18"/>
                          <w:u w:val="single"/>
                        </w:rPr>
                      </w:pPr>
                    </w:p>
                    <w:p w14:paraId="57DA7989" w14:textId="77777777" w:rsidR="00306065" w:rsidRPr="00E32729" w:rsidRDefault="00306065" w:rsidP="00FB71DC">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3755A21" w14:textId="77777777" w:rsidR="00306065" w:rsidRPr="00E32729" w:rsidRDefault="00306065" w:rsidP="00FB71DC">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780F8A43" w14:textId="34E921B2" w:rsidR="00306065" w:rsidRPr="00100481" w:rsidRDefault="00306065" w:rsidP="00FB71DC">
                      <w:pPr>
                        <w:pStyle w:val="Textfeedback"/>
                        <w:jc w:val="center"/>
                        <w:rPr>
                          <w:szCs w:val="18"/>
                        </w:rPr>
                      </w:pPr>
                    </w:p>
                    <w:p w14:paraId="07382A4C" w14:textId="77777777" w:rsidR="00306065" w:rsidRDefault="00306065" w:rsidP="00FB71DC">
                      <w:pPr>
                        <w:spacing w:before="200"/>
                        <w:jc w:val="center"/>
                        <w:rPr>
                          <w:b/>
                          <w:smallCaps/>
                          <w:color w:val="000080"/>
                          <w:szCs w:val="18"/>
                        </w:rPr>
                      </w:pPr>
                    </w:p>
                    <w:p w14:paraId="10BB6620" w14:textId="77777777" w:rsidR="00306065" w:rsidRDefault="00306065" w:rsidP="00FB71DC">
                      <w:pPr>
                        <w:spacing w:before="200"/>
                        <w:jc w:val="center"/>
                        <w:rPr>
                          <w:b/>
                          <w:smallCaps/>
                          <w:color w:val="000080"/>
                          <w:szCs w:val="18"/>
                        </w:rPr>
                      </w:pPr>
                    </w:p>
                    <w:p w14:paraId="00499C2A" w14:textId="77777777" w:rsidR="00306065" w:rsidRPr="00E32729" w:rsidRDefault="00306065" w:rsidP="00FB71DC">
                      <w:pPr>
                        <w:jc w:val="center"/>
                        <w:rPr>
                          <w:b/>
                          <w:smallCaps/>
                          <w:color w:val="000080"/>
                          <w:szCs w:val="18"/>
                        </w:rPr>
                      </w:pPr>
                      <w:r w:rsidRPr="00E32729">
                        <w:rPr>
                          <w:b/>
                          <w:smallCaps/>
                          <w:color w:val="000080"/>
                          <w:szCs w:val="18"/>
                        </w:rPr>
                        <w:t>Instituţia Prefectului - Judeţul Hunedoara</w:t>
                      </w:r>
                    </w:p>
                    <w:p w14:paraId="22F8B620" w14:textId="77777777" w:rsidR="00306065" w:rsidRPr="00A16260" w:rsidRDefault="0030606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306065" w:rsidRPr="00A16260" w:rsidRDefault="0030606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306065" w:rsidRDefault="0030606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306065" w:rsidRPr="00A16260" w:rsidRDefault="00306065" w:rsidP="00FB71DC">
                      <w:pPr>
                        <w:spacing w:before="40"/>
                        <w:jc w:val="center"/>
                        <w:rPr>
                          <w:rFonts w:ascii="Book Antiqua" w:hAnsi="Book Antiqua" w:cs="Tahoma"/>
                          <w:b/>
                          <w:szCs w:val="18"/>
                        </w:rPr>
                      </w:pPr>
                    </w:p>
                    <w:p w14:paraId="33D8A147" w14:textId="77777777" w:rsidR="00306065" w:rsidRPr="00C85301" w:rsidRDefault="00306065" w:rsidP="00FB71DC">
                      <w:pPr>
                        <w:spacing w:before="40"/>
                        <w:jc w:val="center"/>
                        <w:rPr>
                          <w:rStyle w:val="Hyperlink"/>
                          <w:rFonts w:ascii="Book Antiqua" w:hAnsi="Book Antiqua"/>
                        </w:rPr>
                      </w:pPr>
                      <w:hyperlink r:id="rId17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306065" w:rsidRPr="00A16260" w:rsidRDefault="00306065"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175"/>
      <w:headerReference w:type="default" r:id="rId176"/>
      <w:footerReference w:type="default" r:id="rId177"/>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0E8E2" w14:textId="77777777" w:rsidR="009602B9" w:rsidRDefault="009602B9">
      <w:r>
        <w:separator/>
      </w:r>
    </w:p>
    <w:p w14:paraId="51D318E4" w14:textId="77777777" w:rsidR="009602B9" w:rsidRDefault="009602B9"/>
  </w:endnote>
  <w:endnote w:type="continuationSeparator" w:id="0">
    <w:p w14:paraId="76DB2BAF" w14:textId="77777777" w:rsidR="009602B9" w:rsidRDefault="009602B9">
      <w:r>
        <w:continuationSeparator/>
      </w:r>
    </w:p>
    <w:p w14:paraId="5127D6D4" w14:textId="77777777" w:rsidR="009602B9" w:rsidRDefault="00960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306065" w:rsidRPr="006E031F" w14:paraId="29C45603" w14:textId="77777777" w:rsidTr="0041562B">
      <w:trPr>
        <w:gridAfter w:val="1"/>
        <w:wAfter w:w="6" w:type="pct"/>
        <w:trHeight w:val="288"/>
      </w:trPr>
      <w:tc>
        <w:tcPr>
          <w:tcW w:w="600" w:type="pct"/>
          <w:vMerge w:val="restart"/>
          <w:vAlign w:val="center"/>
        </w:tcPr>
        <w:p w14:paraId="65FB61FF" w14:textId="77777777" w:rsidR="00306065" w:rsidRPr="008B206B" w:rsidRDefault="00306065" w:rsidP="0041562B">
          <w:pPr>
            <w:pStyle w:val="Footer"/>
            <w:spacing w:before="0"/>
            <w:rPr>
              <w:szCs w:val="18"/>
            </w:rPr>
          </w:pPr>
          <w:r w:rsidRPr="008B206B">
            <w:rPr>
              <w:szCs w:val="18"/>
            </w:rPr>
            <w:t xml:space="preserve">Anul </w:t>
          </w:r>
        </w:p>
        <w:p w14:paraId="77EB7363" w14:textId="404A0254" w:rsidR="00306065" w:rsidRPr="00E97917" w:rsidRDefault="0030606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01A9CA8" w:rsidR="00306065" w:rsidRPr="008B206B" w:rsidRDefault="00306065" w:rsidP="00664A40">
          <w:pPr>
            <w:pStyle w:val="Footer"/>
            <w:spacing w:before="0"/>
            <w:rPr>
              <w:szCs w:val="18"/>
            </w:rPr>
          </w:pPr>
          <w:r>
            <w:rPr>
              <w:szCs w:val="18"/>
            </w:rPr>
            <w:t>Numărul 23</w:t>
          </w:r>
        </w:p>
      </w:tc>
      <w:tc>
        <w:tcPr>
          <w:tcW w:w="2650" w:type="pct"/>
          <w:vAlign w:val="center"/>
        </w:tcPr>
        <w:p w14:paraId="5CFAC056" w14:textId="31BF190B" w:rsidR="00306065" w:rsidRPr="00CD7AF9" w:rsidRDefault="00306065" w:rsidP="00664A40">
          <w:pPr>
            <w:spacing w:before="0"/>
            <w:jc w:val="center"/>
            <w:rPr>
              <w:rFonts w:ascii="Book Antiqua" w:hAnsi="Book Antiqua"/>
              <w:b/>
              <w:color w:val="000080"/>
              <w:spacing w:val="10"/>
              <w:szCs w:val="18"/>
            </w:rPr>
          </w:pPr>
          <w:r>
            <w:rPr>
              <w:rFonts w:ascii="Book Antiqua" w:hAnsi="Book Antiqua"/>
              <w:b/>
              <w:color w:val="000080"/>
              <w:spacing w:val="10"/>
              <w:szCs w:val="18"/>
            </w:rPr>
            <w:t>6</w:t>
          </w:r>
          <w:r w:rsidRPr="00A776D6">
            <w:rPr>
              <w:rFonts w:ascii="Book Antiqua" w:hAnsi="Book Antiqua"/>
              <w:b/>
              <w:color w:val="000080"/>
              <w:spacing w:val="10"/>
              <w:szCs w:val="18"/>
            </w:rPr>
            <w:t xml:space="preserve"> –</w:t>
          </w:r>
          <w:r>
            <w:rPr>
              <w:rFonts w:ascii="Book Antiqua" w:hAnsi="Book Antiqua"/>
              <w:b/>
              <w:color w:val="000080"/>
              <w:spacing w:val="10"/>
              <w:szCs w:val="18"/>
            </w:rPr>
            <w:t xml:space="preserve"> 12 iunie</w:t>
          </w:r>
        </w:p>
      </w:tc>
      <w:tc>
        <w:tcPr>
          <w:tcW w:w="921" w:type="pct"/>
          <w:vAlign w:val="center"/>
        </w:tcPr>
        <w:p w14:paraId="1AB19596" w14:textId="77777777" w:rsidR="00306065" w:rsidRPr="008B206B" w:rsidRDefault="0030606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AC2C5F">
            <w:rPr>
              <w:noProof/>
              <w:szCs w:val="18"/>
            </w:rPr>
            <w:t>2</w:t>
          </w:r>
          <w:r w:rsidRPr="008B206B">
            <w:rPr>
              <w:szCs w:val="18"/>
            </w:rPr>
            <w:fldChar w:fldCharType="end"/>
          </w:r>
        </w:p>
      </w:tc>
    </w:tr>
    <w:tr w:rsidR="00306065" w:rsidRPr="006E031F" w14:paraId="5A7A2BD8" w14:textId="77777777" w:rsidTr="00E119C2">
      <w:trPr>
        <w:trHeight w:val="257"/>
      </w:trPr>
      <w:tc>
        <w:tcPr>
          <w:tcW w:w="600" w:type="pct"/>
          <w:vMerge/>
        </w:tcPr>
        <w:p w14:paraId="6C24859B" w14:textId="77777777" w:rsidR="00306065" w:rsidRPr="006E031F" w:rsidRDefault="00306065" w:rsidP="0041562B">
          <w:pPr>
            <w:spacing w:before="0"/>
            <w:jc w:val="center"/>
            <w:rPr>
              <w:rFonts w:ascii="Book Antiqua" w:hAnsi="Book Antiqua"/>
              <w:b/>
              <w:color w:val="808080"/>
              <w:szCs w:val="18"/>
            </w:rPr>
          </w:pPr>
        </w:p>
      </w:tc>
      <w:tc>
        <w:tcPr>
          <w:tcW w:w="824" w:type="pct"/>
          <w:vMerge/>
          <w:vAlign w:val="center"/>
        </w:tcPr>
        <w:p w14:paraId="50268750" w14:textId="77777777" w:rsidR="00306065" w:rsidRPr="006E031F" w:rsidRDefault="00306065" w:rsidP="0041562B">
          <w:pPr>
            <w:spacing w:before="0"/>
            <w:jc w:val="center"/>
            <w:rPr>
              <w:rFonts w:ascii="Book Antiqua" w:hAnsi="Book Antiqua"/>
              <w:b/>
              <w:color w:val="808080"/>
              <w:szCs w:val="18"/>
            </w:rPr>
          </w:pPr>
        </w:p>
      </w:tc>
      <w:tc>
        <w:tcPr>
          <w:tcW w:w="2650" w:type="pct"/>
        </w:tcPr>
        <w:p w14:paraId="7121F994" w14:textId="77777777" w:rsidR="00306065" w:rsidRPr="006E031F" w:rsidRDefault="0030606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06065" w:rsidRPr="006E031F" w:rsidRDefault="00306065" w:rsidP="0041562B">
          <w:pPr>
            <w:spacing w:before="0"/>
            <w:rPr>
              <w:rFonts w:ascii="Book Antiqua" w:hAnsi="Book Antiqua"/>
              <w:b/>
              <w:color w:val="808080"/>
              <w:szCs w:val="18"/>
            </w:rPr>
          </w:pPr>
        </w:p>
      </w:tc>
    </w:tr>
  </w:tbl>
  <w:p w14:paraId="1BF0DCEE" w14:textId="5F76118D" w:rsidR="00306065" w:rsidRPr="00B445F1" w:rsidRDefault="00306065" w:rsidP="00EF3149">
    <w:pPr>
      <w:tabs>
        <w:tab w:val="left" w:pos="1956"/>
        <w:tab w:val="center" w:pos="4762"/>
      </w:tabs>
    </w:pPr>
    <w:r>
      <w:tab/>
    </w:r>
    <w:r>
      <w:tab/>
    </w:r>
  </w:p>
  <w:p w14:paraId="30EB9954" w14:textId="77777777" w:rsidR="00306065" w:rsidRDefault="003060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D5B9D" w14:textId="77777777" w:rsidR="009602B9" w:rsidRDefault="009602B9">
      <w:r>
        <w:separator/>
      </w:r>
    </w:p>
    <w:p w14:paraId="36A05487" w14:textId="77777777" w:rsidR="009602B9" w:rsidRDefault="009602B9"/>
  </w:footnote>
  <w:footnote w:type="continuationSeparator" w:id="0">
    <w:p w14:paraId="4D9241F4" w14:textId="77777777" w:rsidR="009602B9" w:rsidRDefault="009602B9">
      <w:r>
        <w:continuationSeparator/>
      </w:r>
    </w:p>
    <w:p w14:paraId="7EF90D65" w14:textId="77777777" w:rsidR="009602B9" w:rsidRDefault="009602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306065" w:rsidRDefault="00306065" w:rsidP="00633305">
    <w:pPr>
      <w:pStyle w:val="Header"/>
    </w:pPr>
  </w:p>
  <w:p w14:paraId="3D4EE5EE" w14:textId="77777777" w:rsidR="00306065" w:rsidRDefault="00306065"/>
  <w:p w14:paraId="16D7B7A0" w14:textId="77777777" w:rsidR="00306065" w:rsidRDefault="00306065"/>
  <w:p w14:paraId="32F98579" w14:textId="77777777" w:rsidR="00306065" w:rsidRDefault="003060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306065" w:rsidRDefault="0030606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764"/>
    <w:multiLevelType w:val="multilevel"/>
    <w:tmpl w:val="92B4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40A0C"/>
    <w:multiLevelType w:val="multilevel"/>
    <w:tmpl w:val="206A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63070"/>
    <w:multiLevelType w:val="multilevel"/>
    <w:tmpl w:val="C49C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702BC"/>
    <w:multiLevelType w:val="multilevel"/>
    <w:tmpl w:val="2A72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7843"/>
    <w:multiLevelType w:val="multilevel"/>
    <w:tmpl w:val="07D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E6443"/>
    <w:multiLevelType w:val="multilevel"/>
    <w:tmpl w:val="4C84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E6572"/>
    <w:multiLevelType w:val="multilevel"/>
    <w:tmpl w:val="45AC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55491"/>
    <w:multiLevelType w:val="multilevel"/>
    <w:tmpl w:val="E9C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D18D7"/>
    <w:multiLevelType w:val="multilevel"/>
    <w:tmpl w:val="49EA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F9744A"/>
    <w:multiLevelType w:val="multilevel"/>
    <w:tmpl w:val="0AA8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3852E7"/>
    <w:multiLevelType w:val="multilevel"/>
    <w:tmpl w:val="6D38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B2487"/>
    <w:multiLevelType w:val="multilevel"/>
    <w:tmpl w:val="01E2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B6770"/>
    <w:multiLevelType w:val="multilevel"/>
    <w:tmpl w:val="053A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A645A"/>
    <w:multiLevelType w:val="multilevel"/>
    <w:tmpl w:val="48D0D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A31F0E"/>
    <w:multiLevelType w:val="multilevel"/>
    <w:tmpl w:val="16CA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671120"/>
    <w:multiLevelType w:val="multilevel"/>
    <w:tmpl w:val="5AC4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7E0240"/>
    <w:multiLevelType w:val="multilevel"/>
    <w:tmpl w:val="16FAF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61426"/>
    <w:multiLevelType w:val="multilevel"/>
    <w:tmpl w:val="5FF8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365FFF"/>
    <w:multiLevelType w:val="multilevel"/>
    <w:tmpl w:val="EB9C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15BF1"/>
    <w:multiLevelType w:val="multilevel"/>
    <w:tmpl w:val="0372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4317C"/>
    <w:multiLevelType w:val="multilevel"/>
    <w:tmpl w:val="1CF0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D73351"/>
    <w:multiLevelType w:val="multilevel"/>
    <w:tmpl w:val="B0AC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492F42"/>
    <w:multiLevelType w:val="multilevel"/>
    <w:tmpl w:val="44B2C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5" w15:restartNumberingAfterBreak="0">
    <w:nsid w:val="43920C5B"/>
    <w:multiLevelType w:val="multilevel"/>
    <w:tmpl w:val="3E1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16B82"/>
    <w:multiLevelType w:val="multilevel"/>
    <w:tmpl w:val="3D22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2E0FDE"/>
    <w:multiLevelType w:val="multilevel"/>
    <w:tmpl w:val="C186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5915A6"/>
    <w:multiLevelType w:val="multilevel"/>
    <w:tmpl w:val="7FA6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741CC8"/>
    <w:multiLevelType w:val="multilevel"/>
    <w:tmpl w:val="AB8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B11F92"/>
    <w:multiLevelType w:val="multilevel"/>
    <w:tmpl w:val="AA5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35690"/>
    <w:multiLevelType w:val="multilevel"/>
    <w:tmpl w:val="3C9A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7041C"/>
    <w:multiLevelType w:val="multilevel"/>
    <w:tmpl w:val="B8F8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75298"/>
    <w:multiLevelType w:val="multilevel"/>
    <w:tmpl w:val="B3D4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E32D1"/>
    <w:multiLevelType w:val="multilevel"/>
    <w:tmpl w:val="5102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92BC8"/>
    <w:multiLevelType w:val="multilevel"/>
    <w:tmpl w:val="C63C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5752F"/>
    <w:multiLevelType w:val="multilevel"/>
    <w:tmpl w:val="A2E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3F635A"/>
    <w:multiLevelType w:val="multilevel"/>
    <w:tmpl w:val="A5C4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42297C"/>
    <w:multiLevelType w:val="multilevel"/>
    <w:tmpl w:val="742E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55926"/>
    <w:multiLevelType w:val="multilevel"/>
    <w:tmpl w:val="89BA1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C15F82"/>
    <w:multiLevelType w:val="multilevel"/>
    <w:tmpl w:val="A4E68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3359B4"/>
    <w:multiLevelType w:val="multilevel"/>
    <w:tmpl w:val="1F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D61341"/>
    <w:multiLevelType w:val="multilevel"/>
    <w:tmpl w:val="98601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4"/>
  </w:num>
  <w:num w:numId="3">
    <w:abstractNumId w:val="24"/>
  </w:num>
  <w:num w:numId="4">
    <w:abstractNumId w:val="15"/>
  </w:num>
  <w:num w:numId="5">
    <w:abstractNumId w:val="43"/>
  </w:num>
  <w:num w:numId="6">
    <w:abstractNumId w:val="16"/>
  </w:num>
  <w:num w:numId="7">
    <w:abstractNumId w:val="28"/>
  </w:num>
  <w:num w:numId="8">
    <w:abstractNumId w:val="20"/>
  </w:num>
  <w:num w:numId="9">
    <w:abstractNumId w:val="32"/>
  </w:num>
  <w:num w:numId="10">
    <w:abstractNumId w:val="5"/>
  </w:num>
  <w:num w:numId="11">
    <w:abstractNumId w:val="11"/>
  </w:num>
  <w:num w:numId="12">
    <w:abstractNumId w:val="10"/>
  </w:num>
  <w:num w:numId="13">
    <w:abstractNumId w:val="42"/>
  </w:num>
  <w:num w:numId="14">
    <w:abstractNumId w:val="25"/>
  </w:num>
  <w:num w:numId="15">
    <w:abstractNumId w:val="8"/>
  </w:num>
  <w:num w:numId="16">
    <w:abstractNumId w:val="39"/>
  </w:num>
  <w:num w:numId="17">
    <w:abstractNumId w:val="18"/>
  </w:num>
  <w:num w:numId="18">
    <w:abstractNumId w:val="1"/>
  </w:num>
  <w:num w:numId="19">
    <w:abstractNumId w:val="19"/>
  </w:num>
  <w:num w:numId="20">
    <w:abstractNumId w:val="17"/>
  </w:num>
  <w:num w:numId="21">
    <w:abstractNumId w:val="34"/>
  </w:num>
  <w:num w:numId="22">
    <w:abstractNumId w:val="41"/>
  </w:num>
  <w:num w:numId="23">
    <w:abstractNumId w:val="33"/>
  </w:num>
  <w:num w:numId="24">
    <w:abstractNumId w:val="31"/>
  </w:num>
  <w:num w:numId="25">
    <w:abstractNumId w:val="2"/>
  </w:num>
  <w:num w:numId="26">
    <w:abstractNumId w:val="30"/>
  </w:num>
  <w:num w:numId="27">
    <w:abstractNumId w:val="40"/>
  </w:num>
  <w:num w:numId="28">
    <w:abstractNumId w:val="6"/>
  </w:num>
  <w:num w:numId="29">
    <w:abstractNumId w:val="36"/>
  </w:num>
  <w:num w:numId="30">
    <w:abstractNumId w:val="9"/>
  </w:num>
  <w:num w:numId="31">
    <w:abstractNumId w:val="4"/>
  </w:num>
  <w:num w:numId="32">
    <w:abstractNumId w:val="27"/>
  </w:num>
  <w:num w:numId="33">
    <w:abstractNumId w:val="35"/>
  </w:num>
  <w:num w:numId="34">
    <w:abstractNumId w:val="22"/>
  </w:num>
  <w:num w:numId="35">
    <w:abstractNumId w:val="3"/>
  </w:num>
  <w:num w:numId="36">
    <w:abstractNumId w:val="38"/>
  </w:num>
  <w:num w:numId="37">
    <w:abstractNumId w:val="12"/>
  </w:num>
  <w:num w:numId="38">
    <w:abstractNumId w:val="21"/>
  </w:num>
  <w:num w:numId="39">
    <w:abstractNumId w:val="0"/>
  </w:num>
  <w:num w:numId="40">
    <w:abstractNumId w:val="26"/>
  </w:num>
  <w:num w:numId="41">
    <w:abstractNumId w:val="13"/>
  </w:num>
  <w:num w:numId="42">
    <w:abstractNumId w:val="29"/>
  </w:num>
  <w:num w:numId="43">
    <w:abstractNumId w:val="23"/>
  </w:num>
  <w:num w:numId="4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9F8"/>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8A2"/>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BF0"/>
    <w:rsid w:val="000F7C7D"/>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DF"/>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523C"/>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430"/>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3FF"/>
    <w:rsid w:val="005B351E"/>
    <w:rsid w:val="005B3B49"/>
    <w:rsid w:val="005B3B80"/>
    <w:rsid w:val="005B42F3"/>
    <w:rsid w:val="005B48B5"/>
    <w:rsid w:val="005B5338"/>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5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4A2"/>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515E"/>
    <w:rsid w:val="0096524C"/>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29F"/>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D009B"/>
    <w:rsid w:val="00AD0131"/>
    <w:rsid w:val="00AD058F"/>
    <w:rsid w:val="00AD0ABF"/>
    <w:rsid w:val="00AD0BC7"/>
    <w:rsid w:val="00AD17BD"/>
    <w:rsid w:val="00AD194C"/>
    <w:rsid w:val="00AD19F4"/>
    <w:rsid w:val="00AD224F"/>
    <w:rsid w:val="00AD2333"/>
    <w:rsid w:val="00AD23A7"/>
    <w:rsid w:val="00AD2C3E"/>
    <w:rsid w:val="00AD316E"/>
    <w:rsid w:val="00AD3246"/>
    <w:rsid w:val="00AD3279"/>
    <w:rsid w:val="00AD397A"/>
    <w:rsid w:val="00AD3AE1"/>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B31"/>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2C96"/>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3E5"/>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1FC"/>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7D053ACB-A95B-4556-9832-B185AFE2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F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UnresolvedMention">
    <w:name w:val="Unresolved Mention"/>
    <w:basedOn w:val="DefaultParagraphFont"/>
    <w:uiPriority w:val="99"/>
    <w:semiHidden/>
    <w:unhideWhenUsed/>
    <w:rsid w:val="0004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pnrr@mfe.gov.ro" TargetMode="External"/><Relationship Id="rId117" Type="http://schemas.openxmlformats.org/officeDocument/2006/relationships/hyperlink" Target="https://eur-lex.europa.eu/legal-content/EN/TXT/?uri=OJ%3AJOC_2020_091_I_0001" TargetMode="External"/><Relationship Id="rId21" Type="http://schemas.openxmlformats.org/officeDocument/2006/relationships/hyperlink" Target="https://www.fonduri-structurale.ro/descarca-document/39584"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https://ec.europa.eu/commission/presscorner/detail/en/mex_22_642" TargetMode="External"/><Relationship Id="rId84" Type="http://schemas.openxmlformats.org/officeDocument/2006/relationships/hyperlink" Target="https://ec.europa.eu/clima/news-your-voice/news/modernisation-fund-invests-nearly-eu900-million-during-first-year-operation-2021-12-16_en" TargetMode="External"/><Relationship Id="rId89" Type="http://schemas.openxmlformats.org/officeDocument/2006/relationships/hyperlink" Target="javascript:void(0)" TargetMode="External"/><Relationship Id="rId112" Type="http://schemas.openxmlformats.org/officeDocument/2006/relationships/hyperlink" Target="https://ec.europa.eu/competition/state_aid/what_is_new/covid_19.html" TargetMode="External"/><Relationship Id="rId133" Type="http://schemas.openxmlformats.org/officeDocument/2006/relationships/hyperlink" Target="https://ec.europa.eu/commission/presscorner/detail/ro/ip_20_1968" TargetMode="External"/><Relationship Id="rId138" Type="http://schemas.openxmlformats.org/officeDocument/2006/relationships/image" Target="media/image19.png"/><Relationship Id="rId154" Type="http://schemas.openxmlformats.org/officeDocument/2006/relationships/hyperlink" Target="https://eic.ec.europa.eu/system/files/2022-06/EIC-Ukraine-WEB.pdf" TargetMode="External"/><Relationship Id="rId159" Type="http://schemas.openxmlformats.org/officeDocument/2006/relationships/hyperlink" Target="https://ec.europa.eu/info/research-and-innovation/strategy/strategy-2020-2024/europe-world/international-cooperation/ukraine_en" TargetMode="External"/><Relationship Id="rId175" Type="http://schemas.openxmlformats.org/officeDocument/2006/relationships/header" Target="header1.xml"/><Relationship Id="rId170" Type="http://schemas.openxmlformats.org/officeDocument/2006/relationships/hyperlink" Target="https://transport.ec.europa.eu/news/ukraine-commission-requests-council-mandate-negotiating-road-transport-agreements-ukraine-and-2022-04-06_en" TargetMode="External"/><Relationship Id="rId16" Type="http://schemas.openxmlformats.org/officeDocument/2006/relationships/image" Target="media/image6.png"/><Relationship Id="rId107" Type="http://schemas.openxmlformats.org/officeDocument/2006/relationships/hyperlink" Target="https://ec.europa.eu/docsroom/documents/46754?locale=ro" TargetMode="External"/><Relationship Id="rId11" Type="http://schemas.openxmlformats.org/officeDocument/2006/relationships/image" Target="media/image4.png"/><Relationship Id="rId32" Type="http://schemas.openxmlformats.org/officeDocument/2006/relationships/hyperlink" Target="https://www.fonduri-structurale.ro/descarca-document/39567" TargetMode="External"/><Relationship Id="rId37" Type="http://schemas.openxmlformats.org/officeDocument/2006/relationships/hyperlink" Target="https://www.fonduri-structurale.ro/descarca-document/39570" TargetMode="External"/><Relationship Id="rId53" Type="http://schemas.openxmlformats.org/officeDocument/2006/relationships/hyperlink" Target="javascript:void(0)" TargetMode="External"/><Relationship Id="rId58" Type="http://schemas.openxmlformats.org/officeDocument/2006/relationships/hyperlink" Target="https://europa.eu/eurobarometer/surveys/detail/2662" TargetMode="External"/><Relationship Id="rId74" Type="http://schemas.openxmlformats.org/officeDocument/2006/relationships/image" Target="media/image13.png"/><Relationship Id="rId79" Type="http://schemas.openxmlformats.org/officeDocument/2006/relationships/hyperlink" Target="http://ec.europa.eu/competition/index_en.html" TargetMode="External"/><Relationship Id="rId102" Type="http://schemas.openxmlformats.org/officeDocument/2006/relationships/hyperlink" Target="https://ec.europa.eu/info/strategy/priorities-2019-2024/european-green-deal/delivering-european-green-deal_ro" TargetMode="External"/><Relationship Id="rId123" Type="http://schemas.openxmlformats.org/officeDocument/2006/relationships/image" Target="media/image18.png"/><Relationship Id="rId128" Type="http://schemas.openxmlformats.org/officeDocument/2006/relationships/hyperlink" Target="https://op.europa.eu/webpub/empl/european-pillar-of-social-rights/ro/index.html" TargetMode="External"/><Relationship Id="rId144" Type="http://schemas.openxmlformats.org/officeDocument/2006/relationships/hyperlink" Target="javascript:void(0)" TargetMode="External"/><Relationship Id="rId149" Type="http://schemas.openxmlformats.org/officeDocument/2006/relationships/hyperlink" Target="https://ec.europa.eu/info/funding-tenders/opportunities/portal/screen/opportunities/ua-opportunities" TargetMode="External"/><Relationship Id="rId5" Type="http://schemas.openxmlformats.org/officeDocument/2006/relationships/webSettings" Target="webSettings.xml"/><Relationship Id="rId90" Type="http://schemas.openxmlformats.org/officeDocument/2006/relationships/hyperlink" Target="https://ec.europa.eu/commission/presscorner/detail/ro/IP_22_3131" TargetMode="External"/><Relationship Id="rId95" Type="http://schemas.openxmlformats.org/officeDocument/2006/relationships/hyperlink" Target="https://modernisationfund.eu/governance/european-commission/" TargetMode="External"/><Relationship Id="rId160" Type="http://schemas.openxmlformats.org/officeDocument/2006/relationships/hyperlink" Target="javascript:void(0)" TargetMode="External"/><Relationship Id="rId165" Type="http://schemas.openxmlformats.org/officeDocument/2006/relationships/hyperlink" Target="https://ec.europa.eu/commission/presscorner/detail/en/IP_21_2465" TargetMode="External"/><Relationship Id="rId22" Type="http://schemas.openxmlformats.org/officeDocument/2006/relationships/hyperlink" Target="https://proiecte.pnrr.gov.ro/" TargetMode="External"/><Relationship Id="rId27" Type="http://schemas.openxmlformats.org/officeDocument/2006/relationships/hyperlink" Target="https://www.fonduri-structurale.ro/descarca-document/39564" TargetMode="External"/><Relationship Id="rId43" Type="http://schemas.openxmlformats.org/officeDocument/2006/relationships/hyperlink" Target="https://europa.eu/new-european-bauhaus/index_en" TargetMode="External"/><Relationship Id="rId48" Type="http://schemas.openxmlformats.org/officeDocument/2006/relationships/hyperlink" Target="https://europa.eu/new-european-bauhaus/get-involved/festival_en" TargetMode="External"/><Relationship Id="rId64" Type="http://schemas.openxmlformats.org/officeDocument/2006/relationships/hyperlink" Target="https://ec.europa.eu/neighbourhood-enlargement/system/files/2022-05/05052022-EU_Solidarity_with_Moldova_Factsheet.pdf" TargetMode="External"/><Relationship Id="rId69" Type="http://schemas.openxmlformats.org/officeDocument/2006/relationships/hyperlink" Target="javascript:void(0)" TargetMode="External"/><Relationship Id="rId113" Type="http://schemas.openxmlformats.org/officeDocument/2006/relationships/hyperlink" Target="http://ec.europa.eu/competition/state_aid/register/"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hyperlink" Target="https://eic.ec.europa.eu/index_en"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https://erc.europa.eu/funding/additional-opportunities/ERC-for-Ukraine-research-jobs" TargetMode="External"/><Relationship Id="rId155" Type="http://schemas.openxmlformats.org/officeDocument/2006/relationships/hyperlink" Target="https://eic.ec.europa.eu/news/european-innovation-council-impact-report-2021-key-numbers-eic-performance-2021-11-24_en" TargetMode="External"/><Relationship Id="rId171" Type="http://schemas.openxmlformats.org/officeDocument/2006/relationships/hyperlink" Target="https://transport.ec.europa.eu/ukraine/keeping-ukrainian-goods-moving_fr" TargetMode="External"/><Relationship Id="rId176" Type="http://schemas.openxmlformats.org/officeDocument/2006/relationships/header" Target="header2.xm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9580" TargetMode="External"/><Relationship Id="rId33" Type="http://schemas.openxmlformats.org/officeDocument/2006/relationships/hyperlink" Target="https://www.fonduri-structurale.ro/descarca-document/39568" TargetMode="External"/><Relationship Id="rId38" Type="http://schemas.openxmlformats.org/officeDocument/2006/relationships/hyperlink" Target="https://www.fonduri-structurale.ro/descarca-document/39565" TargetMode="External"/><Relationship Id="rId59" Type="http://schemas.openxmlformats.org/officeDocument/2006/relationships/image" Target="media/image11.png"/><Relationship Id="rId103" Type="http://schemas.openxmlformats.org/officeDocument/2006/relationships/hyperlink" Target="javascript:void(0)" TargetMode="External"/><Relationship Id="rId108" Type="http://schemas.openxmlformats.org/officeDocument/2006/relationships/hyperlink" Target="https://twitter.com/EU_Growth" TargetMode="External"/><Relationship Id="rId124" Type="http://schemas.openxmlformats.org/officeDocument/2006/relationships/hyperlink" Target="https://ec.europa.eu/commission/presscorner/detail/ro/SPEECH_20_1655" TargetMode="External"/><Relationship Id="rId129" Type="http://schemas.openxmlformats.org/officeDocument/2006/relationships/hyperlink" Target="javascript:void(0)" TargetMode="External"/><Relationship Id="rId54" Type="http://schemas.openxmlformats.org/officeDocument/2006/relationships/image" Target="media/image9.png"/><Relationship Id="rId70" Type="http://schemas.openxmlformats.org/officeDocument/2006/relationships/hyperlink" Target="https://ec.europa.eu/info/live-work-travel-eu/consumer-rights-and-complaints/enforcement-consumer-protection/coordinated-actions/social-media-and-search-engines_en" TargetMode="External"/><Relationship Id="rId75" Type="http://schemas.openxmlformats.org/officeDocument/2006/relationships/hyperlink" Target="https://eur-lex.europa.eu/legal-content/EN/TXT/?uri=OJ%3AJOC_2020_091_I_0001" TargetMode="External"/><Relationship Id="rId91" Type="http://schemas.openxmlformats.org/officeDocument/2006/relationships/hyperlink" Target="javascript:void(0)" TargetMode="External"/><Relationship Id="rId96" Type="http://schemas.openxmlformats.org/officeDocument/2006/relationships/hyperlink" Target="https://modernisationfund.eu/governance/european-investment-bank/" TargetMode="External"/><Relationship Id="rId140" Type="http://schemas.openxmlformats.org/officeDocument/2006/relationships/hyperlink" Target="javascript:void(0)" TargetMode="External"/><Relationship Id="rId145" Type="http://schemas.openxmlformats.org/officeDocument/2006/relationships/hyperlink" Target="https://ec.europa.eu/info/news/ukraines-association-agreement-horizon-europe-and-euratom-research-and-training-programmes-enters-force-2022-jun-09_en" TargetMode="External"/><Relationship Id="rId161" Type="http://schemas.openxmlformats.org/officeDocument/2006/relationships/hyperlink" Target="https://ec.europa.eu/info/research-and-innovation/funding/funding-opportunities/funding-programmes-and-open-calls/horizon-europe_en" TargetMode="External"/><Relationship Id="rId166"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descarca-document/39585" TargetMode="External"/><Relationship Id="rId28" Type="http://schemas.openxmlformats.org/officeDocument/2006/relationships/hyperlink" Target="https://www.fonduri-structurale.ro/descarca-document/39563" TargetMode="External"/><Relationship Id="rId49" Type="http://schemas.openxmlformats.org/officeDocument/2006/relationships/hyperlink" Target="javascript:void(0)" TargetMode="External"/><Relationship Id="rId114" Type="http://schemas.openxmlformats.org/officeDocument/2006/relationships/hyperlink" Target="http://ec.europa.eu/competition/index_en.html" TargetMode="External"/><Relationship Id="rId119" Type="http://schemas.openxmlformats.org/officeDocument/2006/relationships/hyperlink" Target="https://ec.europa.eu/competition/state_aid/what_is_new/covid_19.html" TargetMode="External"/><Relationship Id="rId10" Type="http://schemas.openxmlformats.org/officeDocument/2006/relationships/image" Target="media/image3.jpeg"/><Relationship Id="rId31" Type="http://schemas.openxmlformats.org/officeDocument/2006/relationships/hyperlink" Target="mailto:acte.normative@mfe.gov.ro" TargetMode="External"/><Relationship Id="rId44" Type="http://schemas.openxmlformats.org/officeDocument/2006/relationships/image" Target="media/image8.jpeg"/><Relationship Id="rId52" Type="http://schemas.openxmlformats.org/officeDocument/2006/relationships/hyperlink" Target="https://europa.eu/new-european-bauhaus/get-involved/2022-prizes_enhttps:/europa.eu/new-european-bauhaus/get-involved/2022-prizes_en" TargetMode="External"/><Relationship Id="rId60" Type="http://schemas.openxmlformats.org/officeDocument/2006/relationships/hyperlink" Target="https://ec.europa.eu/transparency/documents-register/detail?ref=COM(2022)288&amp;lang=en" TargetMode="External"/><Relationship Id="rId65" Type="http://schemas.openxmlformats.org/officeDocument/2006/relationships/hyperlink" Target="https://eur-lex.europa.eu/legal-content/RO/TXT/HTML/?uri=CELEX:52022PC0168&amp;from=EN" TargetMode="External"/><Relationship Id="rId73" Type="http://schemas.openxmlformats.org/officeDocument/2006/relationships/hyperlink" Target="javascript:void(0)" TargetMode="External"/><Relationship Id="rId78" Type="http://schemas.openxmlformats.org/officeDocument/2006/relationships/hyperlink" Target="http://ec.europa.eu/competition/state_aid/register/" TargetMode="External"/><Relationship Id="rId81" Type="http://schemas.openxmlformats.org/officeDocument/2006/relationships/image" Target="media/image14.png"/><Relationship Id="rId86" Type="http://schemas.openxmlformats.org/officeDocument/2006/relationships/hyperlink" Target="https://ec.europa.eu/regional_policy/en/2021_2027/" TargetMode="External"/><Relationship Id="rId94" Type="http://schemas.openxmlformats.org/officeDocument/2006/relationships/hyperlink" Target="https://modernisationfund.eu/governance/239914-2/" TargetMode="External"/><Relationship Id="rId99" Type="http://schemas.openxmlformats.org/officeDocument/2006/relationships/hyperlink" Target="https://modernisationfund.eu/governance/european-investment-bank/" TargetMode="External"/><Relationship Id="rId101" Type="http://schemas.openxmlformats.org/officeDocument/2006/relationships/hyperlink" Target="https://modernisationfund.eu/investments/" TargetMode="External"/><Relationship Id="rId122" Type="http://schemas.openxmlformats.org/officeDocument/2006/relationships/hyperlink" Target="javascript:void(0)" TargetMode="External"/><Relationship Id="rId130" Type="http://schemas.openxmlformats.org/officeDocument/2006/relationships/hyperlink" Target="https://ec.europa.eu/commission/presscorner/detail/ro/ip_20_1968" TargetMode="External"/><Relationship Id="rId135" Type="http://schemas.openxmlformats.org/officeDocument/2006/relationships/hyperlink" Target="https://ec.europa.eu/commission/presscorner/detail/ro/qanda_20_1967" TargetMode="External"/><Relationship Id="rId143" Type="http://schemas.openxmlformats.org/officeDocument/2006/relationships/hyperlink" Target="https://ec.europa.eu/info/research-and-innovation/funding/funding-opportunities/funding-programmes-and-open-calls/horizon-europe/euratom-research-and-training-programme_en" TargetMode="External"/><Relationship Id="rId148" Type="http://schemas.openxmlformats.org/officeDocument/2006/relationships/hyperlink" Target="javascript:void(0)" TargetMode="External"/><Relationship Id="rId151" Type="http://schemas.openxmlformats.org/officeDocument/2006/relationships/hyperlink" Target="https://marie-sklodowska-curie-actions.ec.europa.eu/news/commission-launches-scheme-to-support-displaced-scientists-from-ukraine" TargetMode="External"/><Relationship Id="rId156"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transport.ec.europa.eu/news/european-commission-establish-solidarity-lanes-help-ukraine-export-agricultural-goods-2022-05-12_en"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21.emf"/><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9569" TargetMode="External"/><Relationship Id="rId39" Type="http://schemas.openxmlformats.org/officeDocument/2006/relationships/hyperlink" Target="https://ec.europa.eu/regional_policy/en/funding/cohesion-fund/" TargetMode="External"/><Relationship Id="rId109" Type="http://schemas.openxmlformats.org/officeDocument/2006/relationships/image" Target="media/image16.png"/><Relationship Id="rId34" Type="http://schemas.openxmlformats.org/officeDocument/2006/relationships/hyperlink" Target="mailto:podd@mfe.gov.ro" TargetMode="External"/><Relationship Id="rId50" Type="http://schemas.openxmlformats.org/officeDocument/2006/relationships/hyperlink" Target="https://europa.eu/new-european-bauhaus/index_en" TargetMode="External"/><Relationship Id="rId55" Type="http://schemas.openxmlformats.org/officeDocument/2006/relationships/hyperlink" Target="https://ec.europa.eu/health/funding/eu4health-programme-2021-2027-vision-healthier-european-union_en" TargetMode="External"/><Relationship Id="rId76" Type="http://schemas.openxmlformats.org/officeDocument/2006/relationships/hyperlink" Target="javascript:void(0)" TargetMode="External"/><Relationship Id="rId97" Type="http://schemas.openxmlformats.org/officeDocument/2006/relationships/hyperlink" Target="https://modernisationfund.eu/how-it-works/" TargetMode="External"/><Relationship Id="rId104" Type="http://schemas.openxmlformats.org/officeDocument/2006/relationships/image" Target="media/image15.png"/><Relationship Id="rId120" Type="http://schemas.openxmlformats.org/officeDocument/2006/relationships/hyperlink" Target="http://ec.europa.eu/competition/state_aid/register/" TargetMode="External"/><Relationship Id="rId125" Type="http://schemas.openxmlformats.org/officeDocument/2006/relationships/hyperlink" Target="javascript:void(0)" TargetMode="External"/><Relationship Id="rId141" Type="http://schemas.openxmlformats.org/officeDocument/2006/relationships/hyperlink" Target="https://ec.europa.eu/info/research-and-innovation/funding/funding-opportunities/funding-programmes-and-open-calls/horizon-europe_en" TargetMode="External"/><Relationship Id="rId146" Type="http://schemas.openxmlformats.org/officeDocument/2006/relationships/hyperlink" Target="javascript:void(0)" TargetMode="External"/><Relationship Id="rId167"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ec.europa.eu/info/strategy/priorities-2019-2024/european-green-deal/delivering-european-green-deal_ro" TargetMode="External"/><Relationship Id="rId16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contact.pnrr@mmuncii.gov.ro" TargetMode="External"/><Relationship Id="rId24" Type="http://schemas.openxmlformats.org/officeDocument/2006/relationships/hyperlink" Target="http://www.fonduri-structurale.ro/" TargetMode="External"/><Relationship Id="rId40" Type="http://schemas.openxmlformats.org/officeDocument/2006/relationships/image" Target="media/image7.png"/><Relationship Id="rId45" Type="http://schemas.openxmlformats.org/officeDocument/2006/relationships/hyperlink" Target="https://new-european-bauhaus-festival.eu/"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s://eur-lex.europa.eu/legal-content/EN/TXT/?uri=OJ%3AJOC_2020_091_I_0001"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https://ec.europa.eu/info/funding-tenders/opportunities/portal/screen/home" TargetMode="External"/><Relationship Id="rId178" Type="http://schemas.openxmlformats.org/officeDocument/2006/relationships/fontTable" Target="fontTable.xml"/><Relationship Id="rId61" Type="http://schemas.openxmlformats.org/officeDocument/2006/relationships/hyperlink" Target="javascript:void(0)" TargetMode="External"/><Relationship Id="rId82" Type="http://schemas.openxmlformats.org/officeDocument/2006/relationships/hyperlink" Target="https://modernisationfund.eu/investments/" TargetMode="External"/><Relationship Id="rId152" Type="http://schemas.openxmlformats.org/officeDocument/2006/relationships/hyperlink" Target="https://eic.ec.europa.eu/eic-work-programme-2022_en" TargetMode="External"/><Relationship Id="rId173" Type="http://schemas.openxmlformats.org/officeDocument/2006/relationships/hyperlink" Target="mailto:prefhd@comser.ro" TargetMode="External"/><Relationship Id="rId19" Type="http://schemas.openxmlformats.org/officeDocument/2006/relationships/hyperlink" Target="https://www.fonduri-structurale.ro/stiri/28965/dezbatere-publica-pe-marginea-documentelor-aferente-programului-operational-dezvoltare-durabila-2021-2027" TargetMode="External"/><Relationship Id="rId14" Type="http://schemas.openxmlformats.org/officeDocument/2006/relationships/image" Target="media/image5.png"/><Relationship Id="rId30" Type="http://schemas.openxmlformats.org/officeDocument/2006/relationships/hyperlink" Target="https://www.fonduri-structurale.ro/descarca-document/39587" TargetMode="External"/><Relationship Id="rId35" Type="http://schemas.openxmlformats.org/officeDocument/2006/relationships/hyperlink" Target="mailto:evaluare.impact@mmediu.ro" TargetMode="External"/><Relationship Id="rId56" Type="http://schemas.openxmlformats.org/officeDocument/2006/relationships/hyperlink" Target="javascript:void(0)" TargetMode="External"/><Relationship Id="rId77" Type="http://schemas.openxmlformats.org/officeDocument/2006/relationships/hyperlink" Target="https://ec.europa.eu/competition/state_aid/what_is_new/covid_19.html" TargetMode="External"/><Relationship Id="rId100" Type="http://schemas.openxmlformats.org/officeDocument/2006/relationships/hyperlink" Target="https://modernisationfund.eu/governance/investment-committee/" TargetMode="External"/><Relationship Id="rId105" Type="http://schemas.openxmlformats.org/officeDocument/2006/relationships/hyperlink" Target="https://ec.europa.eu/commission/presscorner/detail/ro/IP_21_4613" TargetMode="External"/><Relationship Id="rId126" Type="http://schemas.openxmlformats.org/officeDocument/2006/relationships/hyperlink" Target="https://ec.europa.eu/info/strategy/priorities-2019-2024/economy-works-people/deeper-and-fairer-economic-and-monetary-union/european-pillar-social-rights_ro" TargetMode="External"/><Relationship Id="rId147" Type="http://schemas.openxmlformats.org/officeDocument/2006/relationships/hyperlink" Target="https://ec.europa.eu/commission/presscorner/detail/ro/ip_22_1942" TargetMode="External"/><Relationship Id="rId168" Type="http://schemas.openxmlformats.org/officeDocument/2006/relationships/hyperlink" Target="https://eu-ua-solidarity-lanes.seu.b2match.io/home" TargetMode="Externa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https://ec.europa.eu/info/live-work-travel-eu/consumer-rights-and-complaints/enforcement-consumer-protection/consumer-protection-cooperation-network_en" TargetMode="External"/><Relationship Id="rId93" Type="http://schemas.openxmlformats.org/officeDocument/2006/relationships/hyperlink" Target="javascript:void(0)" TargetMode="External"/><Relationship Id="rId98" Type="http://schemas.openxmlformats.org/officeDocument/2006/relationships/hyperlink" Target="https://modernisationfund.eu/governance/european-commission/" TargetMode="External"/><Relationship Id="rId121" Type="http://schemas.openxmlformats.org/officeDocument/2006/relationships/hyperlink" Target="http://ec.europa.eu/competition/index_en.html" TargetMode="External"/><Relationship Id="rId142" Type="http://schemas.openxmlformats.org/officeDocument/2006/relationships/hyperlink" Target="javascript:void(0)" TargetMode="External"/><Relationship Id="rId163" Type="http://schemas.openxmlformats.org/officeDocument/2006/relationships/hyperlink" Target="https://ec.europa.eu/info/research-and-innovation/funding/funding-opportunities/funding-programmes-and-open-calls/horizon-europe/euratom-research-and-training-programme_en" TargetMode="External"/><Relationship Id="rId3" Type="http://schemas.openxmlformats.org/officeDocument/2006/relationships/styles" Target="styles.xml"/><Relationship Id="rId25" Type="http://schemas.openxmlformats.org/officeDocument/2006/relationships/hyperlink" Target="https://www.fonduri-structurale.ro/descarca-document/39575" TargetMode="External"/><Relationship Id="rId46" Type="http://schemas.openxmlformats.org/officeDocument/2006/relationships/hyperlink" Target="https://ec.europa.eu/info/strategy/priorities-2019-2024/european-green-deal_ro" TargetMode="External"/><Relationship Id="rId67" Type="http://schemas.openxmlformats.org/officeDocument/2006/relationships/image" Target="media/image12.png"/><Relationship Id="rId116" Type="http://schemas.openxmlformats.org/officeDocument/2006/relationships/image" Target="media/image17.png"/><Relationship Id="rId137" Type="http://schemas.openxmlformats.org/officeDocument/2006/relationships/hyperlink" Target="https://ec.europa.eu/social/BlobServlet?docId=23071&amp;langId=en" TargetMode="External"/><Relationship Id="rId158" Type="http://schemas.openxmlformats.org/officeDocument/2006/relationships/hyperlink" Target="https://euraxess.ec.europa.eu/ukraine" TargetMode="External"/><Relationship Id="rId20" Type="http://schemas.openxmlformats.org/officeDocument/2006/relationships/hyperlink" Target="https://www.fonduri-structurale.ro/descarca-document/39583" TargetMode="External"/><Relationship Id="rId41" Type="http://schemas.openxmlformats.org/officeDocument/2006/relationships/hyperlink" Target="https://cohesiondata.ec.europa.eu/countries/RO" TargetMode="External"/><Relationship Id="rId62" Type="http://schemas.openxmlformats.org/officeDocument/2006/relationships/hyperlink" Target="https://eur-lex.europa.eu/legal-content/ro/TXT/?uri=CELEX:02014A0830(01)-20180824" TargetMode="External"/><Relationship Id="rId83" Type="http://schemas.openxmlformats.org/officeDocument/2006/relationships/hyperlink" Target="https://modernisationfund.eu/" TargetMode="External"/><Relationship Id="rId88" Type="http://schemas.openxmlformats.org/officeDocument/2006/relationships/hyperlink" Target="https://ec.europa.eu/info/strategy/priorities-2019-2024/european-green-deal/finance-and-green-deal/just-transition-mechanism/just-transition-funding-sources_ro" TargetMode="External"/><Relationship Id="rId111" Type="http://schemas.openxmlformats.org/officeDocument/2006/relationships/hyperlink" Target="javascript:void(0)" TargetMode="External"/><Relationship Id="rId132" Type="http://schemas.openxmlformats.org/officeDocument/2006/relationships/hyperlink" Target="https://eur-lex.europa.eu/homepage.html" TargetMode="External"/><Relationship Id="rId153" Type="http://schemas.openxmlformats.org/officeDocument/2006/relationships/hyperlink" Target="javascript:void(0)" TargetMode="External"/><Relationship Id="rId174" Type="http://schemas.openxmlformats.org/officeDocument/2006/relationships/hyperlink" Target="mailto:prefhd@comser.ro" TargetMode="External"/><Relationship Id="rId179" Type="http://schemas.openxmlformats.org/officeDocument/2006/relationships/theme" Target="theme/theme1.xml"/><Relationship Id="rId15" Type="http://schemas.openxmlformats.org/officeDocument/2006/relationships/hyperlink" Target="https://gov.ro/ro/media/comunicate" TargetMode="External"/><Relationship Id="rId36" Type="http://schemas.openxmlformats.org/officeDocument/2006/relationships/hyperlink" Target="https://www.fonduri-structurale.ro/descarca-document/39577" TargetMode="External"/><Relationship Id="rId57" Type="http://schemas.openxmlformats.org/officeDocument/2006/relationships/image" Target="media/image10.png"/><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1DD03-D4F6-46AA-A3A8-306FC56B9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693</TotalTime>
  <Pages>50</Pages>
  <Words>28665</Words>
  <Characters>166261</Characters>
  <Application>Microsoft Office Word</Application>
  <DocSecurity>0</DocSecurity>
  <Lines>1385</Lines>
  <Paragraphs>389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194537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10</cp:revision>
  <cp:lastPrinted>2022-06-14T12:18:00Z</cp:lastPrinted>
  <dcterms:created xsi:type="dcterms:W3CDTF">2022-06-09T08:08:00Z</dcterms:created>
  <dcterms:modified xsi:type="dcterms:W3CDTF">2022-06-14T12:19:00Z</dcterms:modified>
</cp:coreProperties>
</file>