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76261" w14:textId="72733CA3" w:rsidR="003B1D81" w:rsidRPr="003B1D81" w:rsidRDefault="008652DB" w:rsidP="003B1D81">
      <w:pPr>
        <w:jc w:val="center"/>
      </w:pPr>
      <w:bookmarkStart w:id="0" w:name="_GoBack"/>
      <w:bookmarkEnd w:id="0"/>
      <w:r w:rsidRPr="00F50627">
        <w:rPr>
          <w:b/>
          <w:bCs/>
          <w:i/>
          <w:iCs/>
          <w:noProof/>
          <w:sz w:val="24"/>
          <w:szCs w:val="15"/>
          <w:lang w:eastAsia="ro-RO"/>
        </w:rPr>
        <w:drawing>
          <wp:anchor distT="0" distB="0" distL="114300" distR="114300" simplePos="0" relativeHeight="251933696" behindDoc="0" locked="0" layoutInCell="1" allowOverlap="1" wp14:anchorId="28DE11E7" wp14:editId="49EA2F0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6F29">
        <w:rPr>
          <w:noProof/>
          <w:lang w:eastAsia="ro-RO"/>
        </w:rPr>
        <w:t xml:space="preserve">  </w:t>
      </w:r>
    </w:p>
    <w:p w14:paraId="580662F4" w14:textId="157F559D" w:rsidR="008451CE" w:rsidRDefault="008451CE" w:rsidP="008451CE">
      <w:pPr>
        <w:jc w:val="center"/>
      </w:pPr>
    </w:p>
    <w:p w14:paraId="629A3BEC" w14:textId="49F206C4" w:rsidR="00697BDC" w:rsidRDefault="00697BDC" w:rsidP="00FE7328">
      <w:pPr>
        <w:ind w:right="198"/>
        <w:jc w:val="center"/>
      </w:pPr>
    </w:p>
    <w:p w14:paraId="11AD33F6" w14:textId="6EE1E384"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39808" behindDoc="1" locked="0" layoutInCell="1" allowOverlap="1" wp14:anchorId="3BA79E6E" wp14:editId="04951398">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0704C738" w14:textId="226B85F0" w:rsidR="0029188B" w:rsidRDefault="00272932"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0832" behindDoc="1" locked="0" layoutInCell="1" allowOverlap="1" wp14:anchorId="651C52AA" wp14:editId="3DA40B0C">
                <wp:simplePos x="0" y="0"/>
                <wp:positionH relativeFrom="column">
                  <wp:posOffset>231140</wp:posOffset>
                </wp:positionH>
                <wp:positionV relativeFrom="page">
                  <wp:posOffset>1514475</wp:posOffset>
                </wp:positionV>
                <wp:extent cx="6064885" cy="8001000"/>
                <wp:effectExtent l="38100" t="38100" r="3111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00100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272932" w:rsidRDefault="00272932"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8.2pt;margin-top:119.25pt;width:477.55pt;height:6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" fillcolor="#cdddeb" strokecolor="gray" strokeweight="6.25pt">
                <v:fill opacity="52428f"/>
                <v:stroke linestyle="thickThin"/>
                <v:textbox>
                  <w:txbxContent>
                    <w:p w14:paraId="4D240BDE" w14:textId="77777777" w:rsidR="00272932" w:rsidRDefault="00272932" w:rsidP="005357F8"/>
                  </w:txbxContent>
                </v:textbox>
                <w10:wrap anchory="page"/>
              </v:rect>
            </w:pict>
          </mc:Fallback>
        </mc:AlternateContent>
      </w:r>
      <w:r w:rsidR="00212894">
        <w:rPr>
          <w:rFonts w:ascii="Book Antiqua" w:hAnsi="Book Antiqua"/>
          <w:b/>
          <w:bCs/>
          <w:i/>
          <w:iCs/>
          <w:sz w:val="24"/>
          <w:szCs w:val="18"/>
        </w:rPr>
        <w:t xml:space="preserve">       </w:t>
      </w:r>
    </w:p>
    <w:p w14:paraId="64343A3C" w14:textId="6F35581D" w:rsidR="0029188B" w:rsidRDefault="0029188B" w:rsidP="00B2000B">
      <w:pPr>
        <w:tabs>
          <w:tab w:val="left" w:pos="4170"/>
        </w:tabs>
        <w:spacing w:before="0"/>
        <w:ind w:right="198" w:firstLine="567"/>
        <w:jc w:val="both"/>
        <w:rPr>
          <w:rFonts w:ascii="Book Antiqua" w:hAnsi="Book Antiqua"/>
          <w:b/>
          <w:bCs/>
          <w:i/>
          <w:iCs/>
          <w:sz w:val="24"/>
          <w:szCs w:val="18"/>
        </w:rPr>
      </w:pPr>
    </w:p>
    <w:p w14:paraId="00270392" w14:textId="10A91400"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58F78B6B" w14:textId="0399785D"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751241CB" w14:textId="77777777" w:rsidR="00272932"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471D16A0">
                <wp:simplePos x="0" y="0"/>
                <wp:positionH relativeFrom="column">
                  <wp:posOffset>-702310</wp:posOffset>
                </wp:positionH>
                <wp:positionV relativeFrom="page">
                  <wp:posOffset>9892665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0340979D" w:rsidR="00272932" w:rsidRDefault="0027293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20</w:t>
                            </w:r>
                          </w:p>
                          <w:p w14:paraId="300DDA87" w14:textId="3D118008" w:rsidR="00272932" w:rsidRPr="005E3F6E" w:rsidRDefault="00272932" w:rsidP="006932BF">
                            <w:pPr>
                              <w:spacing w:after="120"/>
                              <w:jc w:val="center"/>
                              <w:rPr>
                                <w:rFonts w:ascii="Book Antiqua" w:hAnsi="Book Antiqua"/>
                                <w:b/>
                                <w:color w:val="000080"/>
                                <w:spacing w:val="10"/>
                                <w:szCs w:val="18"/>
                              </w:rPr>
                            </w:pPr>
                            <w:r>
                              <w:rPr>
                                <w:rFonts w:ascii="Book Antiqua" w:hAnsi="Book Antiqua"/>
                                <w:b/>
                                <w:color w:val="000080"/>
                                <w:spacing w:val="10"/>
                                <w:szCs w:val="18"/>
                              </w:rPr>
                              <w:t>16 - 22 mai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5.3pt;margin-top:778.95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" stroked="f">
                <v:fill opacity="0"/>
                <v:textbox>
                  <w:txbxContent>
                    <w:p w14:paraId="3A783173" w14:textId="0340979D" w:rsidR="00272932" w:rsidRDefault="0027293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20</w:t>
                      </w:r>
                    </w:p>
                    <w:p w14:paraId="300DDA87" w14:textId="3D118008" w:rsidR="00272932" w:rsidRPr="005E3F6E" w:rsidRDefault="00272932" w:rsidP="006932BF">
                      <w:pPr>
                        <w:spacing w:after="120"/>
                        <w:jc w:val="center"/>
                        <w:rPr>
                          <w:rFonts w:ascii="Book Antiqua" w:hAnsi="Book Antiqua"/>
                          <w:b/>
                          <w:color w:val="000080"/>
                          <w:spacing w:val="10"/>
                          <w:szCs w:val="18"/>
                        </w:rPr>
                      </w:pPr>
                      <w:r>
                        <w:rPr>
                          <w:rFonts w:ascii="Book Antiqua" w:hAnsi="Book Antiqua"/>
                          <w:b/>
                          <w:color w:val="000080"/>
                          <w:spacing w:val="10"/>
                          <w:szCs w:val="18"/>
                        </w:rPr>
                        <w:t>16 - 22 mai</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5872FB4F" w14:textId="55AAAFC7" w:rsidR="00272932" w:rsidRDefault="00272932">
      <w:pPr>
        <w:pStyle w:val="TOC2"/>
        <w:rPr>
          <w:rFonts w:asciiTheme="minorHAnsi" w:eastAsiaTheme="minorEastAsia" w:hAnsiTheme="minorHAnsi" w:cstheme="minorBidi"/>
          <w:b w:val="0"/>
          <w:bCs w:val="0"/>
          <w:smallCaps w:val="0"/>
          <w:sz w:val="22"/>
          <w:szCs w:val="22"/>
          <w:lang w:eastAsia="ro-RO"/>
        </w:rPr>
      </w:pPr>
      <w:hyperlink w:anchor="_Toc104197250" w:history="1">
        <w:r w:rsidRPr="00C8725A">
          <w:rPr>
            <w:rStyle w:val="Hyperlink"/>
            <w:rFonts w:ascii="Book Antiqua" w:hAnsi="Book Antiqua"/>
          </w:rPr>
          <w:t xml:space="preserve">Repere din agenda publică a conducerii Instituţiei Prefectului -  Judeţul  Hunedoara  în  </w:t>
        </w:r>
        <w:r w:rsidRPr="00C8725A">
          <w:rPr>
            <w:rStyle w:val="Hyperlink"/>
            <w:rFonts w:ascii="Book Antiqua" w:hAnsi="Book Antiqua"/>
            <w:spacing w:val="-6"/>
          </w:rPr>
          <w:t>perioada  16  -  22 mai  2022</w:t>
        </w:r>
        <w:r>
          <w:rPr>
            <w:webHidden/>
          </w:rPr>
          <w:tab/>
        </w:r>
        <w:r>
          <w:rPr>
            <w:webHidden/>
          </w:rPr>
          <w:fldChar w:fldCharType="begin"/>
        </w:r>
        <w:r>
          <w:rPr>
            <w:webHidden/>
          </w:rPr>
          <w:instrText xml:space="preserve"> PAGEREF _Toc104197250 \h </w:instrText>
        </w:r>
        <w:r>
          <w:rPr>
            <w:webHidden/>
          </w:rPr>
        </w:r>
        <w:r>
          <w:rPr>
            <w:webHidden/>
          </w:rPr>
          <w:fldChar w:fldCharType="separate"/>
        </w:r>
        <w:r w:rsidR="008A0424">
          <w:rPr>
            <w:webHidden/>
          </w:rPr>
          <w:t>3</w:t>
        </w:r>
        <w:r>
          <w:rPr>
            <w:webHidden/>
          </w:rPr>
          <w:fldChar w:fldCharType="end"/>
        </w:r>
      </w:hyperlink>
    </w:p>
    <w:p w14:paraId="4E1FFB90" w14:textId="6ADFB092" w:rsidR="00272932" w:rsidRDefault="00272932">
      <w:pPr>
        <w:pStyle w:val="TOC2"/>
        <w:rPr>
          <w:rFonts w:asciiTheme="minorHAnsi" w:eastAsiaTheme="minorEastAsia" w:hAnsiTheme="minorHAnsi" w:cstheme="minorBidi"/>
          <w:b w:val="0"/>
          <w:bCs w:val="0"/>
          <w:smallCaps w:val="0"/>
          <w:sz w:val="22"/>
          <w:szCs w:val="22"/>
          <w:lang w:eastAsia="ro-RO"/>
        </w:rPr>
      </w:pPr>
      <w:hyperlink w:anchor="_Toc104197251" w:history="1">
        <w:r w:rsidRPr="00C8725A">
          <w:rPr>
            <w:rStyle w:val="Hyperlink"/>
            <w:rFonts w:ascii="Book Antiqua" w:hAnsi="Book Antiqua"/>
            <w:spacing w:val="-6"/>
          </w:rPr>
          <w:t>Selec</w:t>
        </w:r>
        <w:r w:rsidRPr="00C8725A">
          <w:rPr>
            <w:rStyle w:val="Hyperlink"/>
            <w:rFonts w:ascii="Cambria" w:hAnsi="Cambria" w:cs="Cambria"/>
            <w:spacing w:val="-6"/>
          </w:rPr>
          <w:t>ț</w:t>
        </w:r>
        <w:r w:rsidRPr="00C8725A">
          <w:rPr>
            <w:rStyle w:val="Hyperlink"/>
            <w:rFonts w:ascii="Book Antiqua" w:hAnsi="Book Antiqua"/>
            <w:spacing w:val="-6"/>
          </w:rPr>
          <w:t>ie de Acte normative apărute în Monitorul Oficial al României</w:t>
        </w:r>
        <w:r w:rsidRPr="00C8725A">
          <w:rPr>
            <w:rStyle w:val="Hyperlink"/>
          </w:rPr>
          <w:t xml:space="preserve">  </w:t>
        </w:r>
        <w:r w:rsidRPr="00C8725A">
          <w:rPr>
            <w:rStyle w:val="Hyperlink"/>
            <w:rFonts w:ascii="Book Antiqua" w:hAnsi="Book Antiqua"/>
            <w:spacing w:val="-6"/>
          </w:rPr>
          <w:t>în perioada  16 - 20 mai, 2022</w:t>
        </w:r>
        <w:r>
          <w:rPr>
            <w:webHidden/>
          </w:rPr>
          <w:tab/>
        </w:r>
        <w:r>
          <w:rPr>
            <w:webHidden/>
          </w:rPr>
          <w:fldChar w:fldCharType="begin"/>
        </w:r>
        <w:r>
          <w:rPr>
            <w:webHidden/>
          </w:rPr>
          <w:instrText xml:space="preserve"> PAGEREF _Toc104197251 \h </w:instrText>
        </w:r>
        <w:r>
          <w:rPr>
            <w:webHidden/>
          </w:rPr>
        </w:r>
        <w:r>
          <w:rPr>
            <w:webHidden/>
          </w:rPr>
          <w:fldChar w:fldCharType="separate"/>
        </w:r>
        <w:r w:rsidR="008A0424">
          <w:rPr>
            <w:webHidden/>
          </w:rPr>
          <w:t>4</w:t>
        </w:r>
        <w:r>
          <w:rPr>
            <w:webHidden/>
          </w:rPr>
          <w:fldChar w:fldCharType="end"/>
        </w:r>
      </w:hyperlink>
    </w:p>
    <w:p w14:paraId="3C029270" w14:textId="083D400A" w:rsidR="00272932" w:rsidRDefault="00272932">
      <w:pPr>
        <w:pStyle w:val="TOC2"/>
        <w:rPr>
          <w:rFonts w:asciiTheme="minorHAnsi" w:eastAsiaTheme="minorEastAsia" w:hAnsiTheme="minorHAnsi" w:cstheme="minorBidi"/>
          <w:b w:val="0"/>
          <w:bCs w:val="0"/>
          <w:smallCaps w:val="0"/>
          <w:sz w:val="22"/>
          <w:szCs w:val="22"/>
          <w:lang w:eastAsia="ro-RO"/>
        </w:rPr>
      </w:pPr>
      <w:hyperlink w:anchor="_Toc104197252" w:history="1">
        <w:r w:rsidRPr="00C8725A">
          <w:rPr>
            <w:rStyle w:val="Hyperlink"/>
          </w:rPr>
          <w:t>Comunicate de presă ale Guvernului României</w:t>
        </w:r>
        <w:r>
          <w:rPr>
            <w:webHidden/>
          </w:rPr>
          <w:tab/>
        </w:r>
        <w:r>
          <w:rPr>
            <w:webHidden/>
          </w:rPr>
          <w:fldChar w:fldCharType="begin"/>
        </w:r>
        <w:r>
          <w:rPr>
            <w:webHidden/>
          </w:rPr>
          <w:instrText xml:space="preserve"> PAGEREF _Toc104197252 \h </w:instrText>
        </w:r>
        <w:r>
          <w:rPr>
            <w:webHidden/>
          </w:rPr>
        </w:r>
        <w:r>
          <w:rPr>
            <w:webHidden/>
          </w:rPr>
          <w:fldChar w:fldCharType="separate"/>
        </w:r>
        <w:r w:rsidR="008A0424">
          <w:rPr>
            <w:webHidden/>
          </w:rPr>
          <w:t>5</w:t>
        </w:r>
        <w:r>
          <w:rPr>
            <w:webHidden/>
          </w:rPr>
          <w:fldChar w:fldCharType="end"/>
        </w:r>
      </w:hyperlink>
    </w:p>
    <w:p w14:paraId="49B8A555" w14:textId="51473F90" w:rsidR="00272932" w:rsidRDefault="00272932">
      <w:pPr>
        <w:pStyle w:val="TOC4"/>
        <w:rPr>
          <w:rFonts w:asciiTheme="minorHAnsi" w:eastAsiaTheme="minorEastAsia" w:hAnsiTheme="minorHAnsi" w:cstheme="minorBidi"/>
          <w:sz w:val="22"/>
          <w:szCs w:val="22"/>
          <w:lang w:eastAsia="ro-RO"/>
        </w:rPr>
      </w:pPr>
      <w:hyperlink w:anchor="_Toc104197253" w:history="1">
        <w:r w:rsidRPr="00C8725A">
          <w:rPr>
            <w:rStyle w:val="Hyperlink"/>
          </w:rPr>
          <w:t>Întrevederea premierului Nicolae-Ionel Ciucă cu vicepreședintele companiei Lockheed Martin</w:t>
        </w:r>
        <w:r>
          <w:rPr>
            <w:webHidden/>
          </w:rPr>
          <w:tab/>
        </w:r>
        <w:r>
          <w:rPr>
            <w:webHidden/>
          </w:rPr>
          <w:fldChar w:fldCharType="begin"/>
        </w:r>
        <w:r>
          <w:rPr>
            <w:webHidden/>
          </w:rPr>
          <w:instrText xml:space="preserve"> PAGEREF _Toc104197253 \h </w:instrText>
        </w:r>
        <w:r>
          <w:rPr>
            <w:webHidden/>
          </w:rPr>
        </w:r>
        <w:r>
          <w:rPr>
            <w:webHidden/>
          </w:rPr>
          <w:fldChar w:fldCharType="separate"/>
        </w:r>
        <w:r w:rsidR="008A0424">
          <w:rPr>
            <w:webHidden/>
          </w:rPr>
          <w:t>5</w:t>
        </w:r>
        <w:r>
          <w:rPr>
            <w:webHidden/>
          </w:rPr>
          <w:fldChar w:fldCharType="end"/>
        </w:r>
      </w:hyperlink>
    </w:p>
    <w:p w14:paraId="4BAB9521" w14:textId="44C3A444" w:rsidR="00272932" w:rsidRDefault="00272932">
      <w:pPr>
        <w:pStyle w:val="TOC4"/>
        <w:rPr>
          <w:rFonts w:asciiTheme="minorHAnsi" w:eastAsiaTheme="minorEastAsia" w:hAnsiTheme="minorHAnsi" w:cstheme="minorBidi"/>
          <w:sz w:val="22"/>
          <w:szCs w:val="22"/>
          <w:lang w:eastAsia="ro-RO"/>
        </w:rPr>
      </w:pPr>
      <w:hyperlink w:anchor="_Toc104197254" w:history="1">
        <w:r w:rsidRPr="00C8725A">
          <w:rPr>
            <w:rStyle w:val="Hyperlink"/>
          </w:rPr>
          <w:t>Participarea premierului Nicolae-Ionel Ciucă la reuniunea Comitetului de monitorizare a Planului Național de Redresare și Reziliență al României</w:t>
        </w:r>
        <w:r>
          <w:rPr>
            <w:webHidden/>
          </w:rPr>
          <w:tab/>
        </w:r>
        <w:r>
          <w:rPr>
            <w:webHidden/>
          </w:rPr>
          <w:fldChar w:fldCharType="begin"/>
        </w:r>
        <w:r>
          <w:rPr>
            <w:webHidden/>
          </w:rPr>
          <w:instrText xml:space="preserve"> PAGEREF _Toc104197254 \h </w:instrText>
        </w:r>
        <w:r>
          <w:rPr>
            <w:webHidden/>
          </w:rPr>
        </w:r>
        <w:r>
          <w:rPr>
            <w:webHidden/>
          </w:rPr>
          <w:fldChar w:fldCharType="separate"/>
        </w:r>
        <w:r w:rsidR="008A0424">
          <w:rPr>
            <w:webHidden/>
          </w:rPr>
          <w:t>5</w:t>
        </w:r>
        <w:r>
          <w:rPr>
            <w:webHidden/>
          </w:rPr>
          <w:fldChar w:fldCharType="end"/>
        </w:r>
      </w:hyperlink>
    </w:p>
    <w:p w14:paraId="1084F85F" w14:textId="5AD68C35" w:rsidR="00272932" w:rsidRDefault="00272932">
      <w:pPr>
        <w:pStyle w:val="TOC4"/>
        <w:rPr>
          <w:rFonts w:asciiTheme="minorHAnsi" w:eastAsiaTheme="minorEastAsia" w:hAnsiTheme="minorHAnsi" w:cstheme="minorBidi"/>
          <w:sz w:val="22"/>
          <w:szCs w:val="22"/>
          <w:lang w:eastAsia="ro-RO"/>
        </w:rPr>
      </w:pPr>
      <w:hyperlink w:anchor="_Toc104197255" w:history="1">
        <w:r w:rsidRPr="00C8725A">
          <w:rPr>
            <w:rStyle w:val="Hyperlink"/>
          </w:rPr>
          <w:t>Mesajul premierului Nicolae-Ionel Ciucă în deschiderea conferinței Protecting Europe in Turbulent Times. Bucharest Leaders Summit: Enduring Power of Solidarity</w:t>
        </w:r>
        <w:r>
          <w:rPr>
            <w:webHidden/>
          </w:rPr>
          <w:tab/>
        </w:r>
        <w:r>
          <w:rPr>
            <w:webHidden/>
          </w:rPr>
          <w:fldChar w:fldCharType="begin"/>
        </w:r>
        <w:r>
          <w:rPr>
            <w:webHidden/>
          </w:rPr>
          <w:instrText xml:space="preserve"> PAGEREF _Toc104197255 \h </w:instrText>
        </w:r>
        <w:r>
          <w:rPr>
            <w:webHidden/>
          </w:rPr>
        </w:r>
        <w:r>
          <w:rPr>
            <w:webHidden/>
          </w:rPr>
          <w:fldChar w:fldCharType="separate"/>
        </w:r>
        <w:r w:rsidR="008A0424">
          <w:rPr>
            <w:webHidden/>
          </w:rPr>
          <w:t>6</w:t>
        </w:r>
        <w:r>
          <w:rPr>
            <w:webHidden/>
          </w:rPr>
          <w:fldChar w:fldCharType="end"/>
        </w:r>
      </w:hyperlink>
    </w:p>
    <w:p w14:paraId="5838FEC5" w14:textId="24EE5988" w:rsidR="00272932" w:rsidRDefault="00272932">
      <w:pPr>
        <w:pStyle w:val="TOC4"/>
        <w:rPr>
          <w:rFonts w:asciiTheme="minorHAnsi" w:eastAsiaTheme="minorEastAsia" w:hAnsiTheme="minorHAnsi" w:cstheme="minorBidi"/>
          <w:sz w:val="22"/>
          <w:szCs w:val="22"/>
          <w:lang w:eastAsia="ro-RO"/>
        </w:rPr>
      </w:pPr>
      <w:hyperlink w:anchor="_Toc104197256" w:history="1">
        <w:r w:rsidRPr="00C8725A">
          <w:rPr>
            <w:rStyle w:val="Hyperlink"/>
          </w:rPr>
          <w:t>Întrevederea premierului Nicolae-Ionel Ciucă cu reprezentanții Asociației Profesionale a Ciobanilor</w:t>
        </w:r>
        <w:r>
          <w:rPr>
            <w:webHidden/>
          </w:rPr>
          <w:tab/>
        </w:r>
        <w:r>
          <w:rPr>
            <w:webHidden/>
          </w:rPr>
          <w:fldChar w:fldCharType="begin"/>
        </w:r>
        <w:r>
          <w:rPr>
            <w:webHidden/>
          </w:rPr>
          <w:instrText xml:space="preserve"> PAGEREF _Toc104197256 \h </w:instrText>
        </w:r>
        <w:r>
          <w:rPr>
            <w:webHidden/>
          </w:rPr>
        </w:r>
        <w:r>
          <w:rPr>
            <w:webHidden/>
          </w:rPr>
          <w:fldChar w:fldCharType="separate"/>
        </w:r>
        <w:r w:rsidR="008A0424">
          <w:rPr>
            <w:webHidden/>
          </w:rPr>
          <w:t>7</w:t>
        </w:r>
        <w:r>
          <w:rPr>
            <w:webHidden/>
          </w:rPr>
          <w:fldChar w:fldCharType="end"/>
        </w:r>
      </w:hyperlink>
    </w:p>
    <w:p w14:paraId="1D92B67E" w14:textId="04B167F7" w:rsidR="00272932" w:rsidRDefault="00272932">
      <w:pPr>
        <w:pStyle w:val="TOC4"/>
        <w:rPr>
          <w:rFonts w:asciiTheme="minorHAnsi" w:eastAsiaTheme="minorEastAsia" w:hAnsiTheme="minorHAnsi" w:cstheme="minorBidi"/>
          <w:sz w:val="22"/>
          <w:szCs w:val="22"/>
          <w:lang w:eastAsia="ro-RO"/>
        </w:rPr>
      </w:pPr>
      <w:hyperlink w:anchor="_Toc104197257" w:history="1">
        <w:r w:rsidRPr="00C8725A">
          <w:rPr>
            <w:rStyle w:val="Hyperlink"/>
          </w:rPr>
          <w:t>Întrevederea premierului Nicolae-Ionel Ciucă cu reprezentanții Companiei Black Sea Oil &amp; Gas SA</w:t>
        </w:r>
        <w:r>
          <w:rPr>
            <w:webHidden/>
          </w:rPr>
          <w:tab/>
        </w:r>
        <w:r>
          <w:rPr>
            <w:webHidden/>
          </w:rPr>
          <w:fldChar w:fldCharType="begin"/>
        </w:r>
        <w:r>
          <w:rPr>
            <w:webHidden/>
          </w:rPr>
          <w:instrText xml:space="preserve"> PAGEREF _Toc104197257 \h </w:instrText>
        </w:r>
        <w:r>
          <w:rPr>
            <w:webHidden/>
          </w:rPr>
        </w:r>
        <w:r>
          <w:rPr>
            <w:webHidden/>
          </w:rPr>
          <w:fldChar w:fldCharType="separate"/>
        </w:r>
        <w:r w:rsidR="008A0424">
          <w:rPr>
            <w:webHidden/>
          </w:rPr>
          <w:t>7</w:t>
        </w:r>
        <w:r>
          <w:rPr>
            <w:webHidden/>
          </w:rPr>
          <w:fldChar w:fldCharType="end"/>
        </w:r>
      </w:hyperlink>
    </w:p>
    <w:p w14:paraId="206FBAF8" w14:textId="6500D866" w:rsidR="00272932" w:rsidRDefault="00272932">
      <w:pPr>
        <w:pStyle w:val="TOC4"/>
        <w:rPr>
          <w:rFonts w:asciiTheme="minorHAnsi" w:eastAsiaTheme="minorEastAsia" w:hAnsiTheme="minorHAnsi" w:cstheme="minorBidi"/>
          <w:sz w:val="22"/>
          <w:szCs w:val="22"/>
          <w:lang w:eastAsia="ro-RO"/>
        </w:rPr>
      </w:pPr>
      <w:hyperlink w:anchor="_Toc104197258" w:history="1">
        <w:r w:rsidRPr="00C8725A">
          <w:rPr>
            <w:rStyle w:val="Hyperlink"/>
          </w:rPr>
          <w:t>Întrevederea premierului Nicolae-Ionel Ciucă cu o delegație a membrilor Colegiului Regal de Studii de Apărare din Regatul Unit al Marii Britanii</w:t>
        </w:r>
        <w:r>
          <w:rPr>
            <w:webHidden/>
          </w:rPr>
          <w:tab/>
        </w:r>
        <w:r>
          <w:rPr>
            <w:webHidden/>
          </w:rPr>
          <w:fldChar w:fldCharType="begin"/>
        </w:r>
        <w:r>
          <w:rPr>
            <w:webHidden/>
          </w:rPr>
          <w:instrText xml:space="preserve"> PAGEREF _Toc104197258 \h </w:instrText>
        </w:r>
        <w:r>
          <w:rPr>
            <w:webHidden/>
          </w:rPr>
        </w:r>
        <w:r>
          <w:rPr>
            <w:webHidden/>
          </w:rPr>
          <w:fldChar w:fldCharType="separate"/>
        </w:r>
        <w:r w:rsidR="008A0424">
          <w:rPr>
            <w:webHidden/>
          </w:rPr>
          <w:t>7</w:t>
        </w:r>
        <w:r>
          <w:rPr>
            <w:webHidden/>
          </w:rPr>
          <w:fldChar w:fldCharType="end"/>
        </w:r>
      </w:hyperlink>
    </w:p>
    <w:p w14:paraId="79648299" w14:textId="68E7E67A" w:rsidR="00272932" w:rsidRDefault="00272932">
      <w:pPr>
        <w:pStyle w:val="TOC4"/>
        <w:rPr>
          <w:rFonts w:asciiTheme="minorHAnsi" w:eastAsiaTheme="minorEastAsia" w:hAnsiTheme="minorHAnsi" w:cstheme="minorBidi"/>
          <w:sz w:val="22"/>
          <w:szCs w:val="22"/>
          <w:lang w:eastAsia="ro-RO"/>
        </w:rPr>
      </w:pPr>
      <w:hyperlink w:anchor="_Toc104197259" w:history="1">
        <w:r w:rsidRPr="00C8725A">
          <w:rPr>
            <w:rStyle w:val="Hyperlink"/>
          </w:rPr>
          <w:t>Guvernul României înregistrează primele rezultate ale implementării Strategiei naționale pentru prevenirea și combaterea antisemitismului, xenofobiei, radicalizării și discursului instigator la ură, aferentă perioadei 2021-2023</w:t>
        </w:r>
        <w:r>
          <w:rPr>
            <w:webHidden/>
          </w:rPr>
          <w:tab/>
        </w:r>
        <w:r>
          <w:rPr>
            <w:webHidden/>
          </w:rPr>
          <w:fldChar w:fldCharType="begin"/>
        </w:r>
        <w:r>
          <w:rPr>
            <w:webHidden/>
          </w:rPr>
          <w:instrText xml:space="preserve"> PAGEREF _Toc104197259 \h </w:instrText>
        </w:r>
        <w:r>
          <w:rPr>
            <w:webHidden/>
          </w:rPr>
        </w:r>
        <w:r>
          <w:rPr>
            <w:webHidden/>
          </w:rPr>
          <w:fldChar w:fldCharType="separate"/>
        </w:r>
        <w:r w:rsidR="008A0424">
          <w:rPr>
            <w:webHidden/>
          </w:rPr>
          <w:t>8</w:t>
        </w:r>
        <w:r>
          <w:rPr>
            <w:webHidden/>
          </w:rPr>
          <w:fldChar w:fldCharType="end"/>
        </w:r>
      </w:hyperlink>
    </w:p>
    <w:p w14:paraId="1FF324DD" w14:textId="77777777" w:rsidR="00272932" w:rsidRDefault="00272932">
      <w:pPr>
        <w:pStyle w:val="TOC4"/>
        <w:rPr>
          <w:rFonts w:asciiTheme="minorHAnsi" w:eastAsiaTheme="minorEastAsia" w:hAnsiTheme="minorHAnsi" w:cstheme="minorBidi"/>
          <w:sz w:val="22"/>
          <w:szCs w:val="22"/>
          <w:lang w:eastAsia="ro-RO"/>
        </w:rPr>
      </w:pPr>
      <w:hyperlink w:anchor="_Toc104197260" w:history="1">
        <w:r w:rsidRPr="00C8725A">
          <w:rPr>
            <w:rStyle w:val="Hyperlink"/>
          </w:rPr>
          <w:t>Vizita premierului Nicolae-Ionel Ciucă la S.C. Farmec S.A., în Cluj-Napoca</w:t>
        </w:r>
        <w:r>
          <w:rPr>
            <w:webHidden/>
          </w:rPr>
          <w:tab/>
        </w:r>
        <w:r>
          <w:rPr>
            <w:webHidden/>
          </w:rPr>
          <w:fldChar w:fldCharType="begin"/>
        </w:r>
        <w:r>
          <w:rPr>
            <w:webHidden/>
          </w:rPr>
          <w:instrText xml:space="preserve"> PAGEREF _Toc104197260 \h </w:instrText>
        </w:r>
        <w:r>
          <w:rPr>
            <w:webHidden/>
          </w:rPr>
        </w:r>
        <w:r>
          <w:rPr>
            <w:webHidden/>
          </w:rPr>
          <w:fldChar w:fldCharType="separate"/>
        </w:r>
        <w:r w:rsidR="008A0424">
          <w:rPr>
            <w:webHidden/>
          </w:rPr>
          <w:t>9</w:t>
        </w:r>
        <w:r>
          <w:rPr>
            <w:webHidden/>
          </w:rPr>
          <w:fldChar w:fldCharType="end"/>
        </w:r>
      </w:hyperlink>
    </w:p>
    <w:p w14:paraId="4DDA00BC" w14:textId="0600E495" w:rsidR="00272932" w:rsidRDefault="00272932">
      <w:pPr>
        <w:pStyle w:val="TOC4"/>
        <w:rPr>
          <w:rFonts w:asciiTheme="minorHAnsi" w:eastAsiaTheme="minorEastAsia" w:hAnsiTheme="minorHAnsi" w:cstheme="minorBidi"/>
          <w:sz w:val="22"/>
          <w:szCs w:val="22"/>
          <w:lang w:eastAsia="ro-RO"/>
        </w:rPr>
      </w:pPr>
      <w:hyperlink w:anchor="_Toc104197261" w:history="1">
        <w:r w:rsidRPr="00C8725A">
          <w:rPr>
            <w:rStyle w:val="Hyperlink"/>
          </w:rPr>
          <w:t>Vizita premierului Nicolae-Ionel Ciucă la S.C. Terapia S.A., în Cluj-Napoca</w:t>
        </w:r>
        <w:r>
          <w:rPr>
            <w:webHidden/>
          </w:rPr>
          <w:tab/>
        </w:r>
        <w:r>
          <w:rPr>
            <w:webHidden/>
          </w:rPr>
          <w:fldChar w:fldCharType="begin"/>
        </w:r>
        <w:r>
          <w:rPr>
            <w:webHidden/>
          </w:rPr>
          <w:instrText xml:space="preserve"> PAGEREF _Toc104197261 \h </w:instrText>
        </w:r>
        <w:r>
          <w:rPr>
            <w:webHidden/>
          </w:rPr>
        </w:r>
        <w:r>
          <w:rPr>
            <w:webHidden/>
          </w:rPr>
          <w:fldChar w:fldCharType="separate"/>
        </w:r>
        <w:r w:rsidR="008A0424">
          <w:rPr>
            <w:webHidden/>
          </w:rPr>
          <w:t>10</w:t>
        </w:r>
        <w:r>
          <w:rPr>
            <w:webHidden/>
          </w:rPr>
          <w:fldChar w:fldCharType="end"/>
        </w:r>
      </w:hyperlink>
    </w:p>
    <w:p w14:paraId="3F5B0CF4" w14:textId="77777777" w:rsidR="00272932" w:rsidRDefault="00272932">
      <w:pPr>
        <w:pStyle w:val="TOC4"/>
        <w:rPr>
          <w:rFonts w:asciiTheme="minorHAnsi" w:eastAsiaTheme="minorEastAsia" w:hAnsiTheme="minorHAnsi" w:cstheme="minorBidi"/>
          <w:sz w:val="22"/>
          <w:szCs w:val="22"/>
          <w:lang w:eastAsia="ro-RO"/>
        </w:rPr>
      </w:pPr>
      <w:hyperlink w:anchor="_Toc104197262" w:history="1">
        <w:r w:rsidRPr="00C8725A">
          <w:rPr>
            <w:rStyle w:val="Hyperlink"/>
          </w:rPr>
          <w:t>Vizita premierului Nicolae-Ionel Ciucă la Fabrica Bosch, în județul Cluj</w:t>
        </w:r>
        <w:r>
          <w:rPr>
            <w:webHidden/>
          </w:rPr>
          <w:tab/>
        </w:r>
        <w:r>
          <w:rPr>
            <w:webHidden/>
          </w:rPr>
          <w:fldChar w:fldCharType="begin"/>
        </w:r>
        <w:r>
          <w:rPr>
            <w:webHidden/>
          </w:rPr>
          <w:instrText xml:space="preserve"> PAGEREF _Toc104197262 \h </w:instrText>
        </w:r>
        <w:r>
          <w:rPr>
            <w:webHidden/>
          </w:rPr>
        </w:r>
        <w:r>
          <w:rPr>
            <w:webHidden/>
          </w:rPr>
          <w:fldChar w:fldCharType="separate"/>
        </w:r>
        <w:r w:rsidR="008A0424">
          <w:rPr>
            <w:webHidden/>
          </w:rPr>
          <w:t>10</w:t>
        </w:r>
        <w:r>
          <w:rPr>
            <w:webHidden/>
          </w:rPr>
          <w:fldChar w:fldCharType="end"/>
        </w:r>
      </w:hyperlink>
    </w:p>
    <w:p w14:paraId="230CD29F" w14:textId="77777777" w:rsidR="00272932" w:rsidRDefault="00272932">
      <w:pPr>
        <w:pStyle w:val="TOC4"/>
        <w:rPr>
          <w:rFonts w:asciiTheme="minorHAnsi" w:eastAsiaTheme="minorEastAsia" w:hAnsiTheme="minorHAnsi" w:cstheme="minorBidi"/>
          <w:sz w:val="22"/>
          <w:szCs w:val="22"/>
          <w:lang w:eastAsia="ro-RO"/>
        </w:rPr>
      </w:pPr>
      <w:hyperlink w:anchor="_Toc104197263" w:history="1">
        <w:r w:rsidRPr="00C8725A">
          <w:rPr>
            <w:rStyle w:val="Hyperlink"/>
          </w:rPr>
          <w:t>CNSU a stabilit noi decizii privind acordarea de asistență umanitară pentru Ucraina</w:t>
        </w:r>
        <w:r>
          <w:rPr>
            <w:webHidden/>
          </w:rPr>
          <w:tab/>
        </w:r>
        <w:r>
          <w:rPr>
            <w:webHidden/>
          </w:rPr>
          <w:fldChar w:fldCharType="begin"/>
        </w:r>
        <w:r>
          <w:rPr>
            <w:webHidden/>
          </w:rPr>
          <w:instrText xml:space="preserve"> PAGEREF _Toc104197263 \h </w:instrText>
        </w:r>
        <w:r>
          <w:rPr>
            <w:webHidden/>
          </w:rPr>
        </w:r>
        <w:r>
          <w:rPr>
            <w:webHidden/>
          </w:rPr>
          <w:fldChar w:fldCharType="separate"/>
        </w:r>
        <w:r w:rsidR="008A0424">
          <w:rPr>
            <w:webHidden/>
          </w:rPr>
          <w:t>12</w:t>
        </w:r>
        <w:r>
          <w:rPr>
            <w:webHidden/>
          </w:rPr>
          <w:fldChar w:fldCharType="end"/>
        </w:r>
      </w:hyperlink>
    </w:p>
    <w:p w14:paraId="3DF8D968" w14:textId="5CE7D5A1" w:rsidR="00272932" w:rsidRDefault="00272932">
      <w:pPr>
        <w:pStyle w:val="TOC2"/>
        <w:rPr>
          <w:rFonts w:asciiTheme="minorHAnsi" w:eastAsiaTheme="minorEastAsia" w:hAnsiTheme="minorHAnsi" w:cstheme="minorBidi"/>
          <w:b w:val="0"/>
          <w:bCs w:val="0"/>
          <w:smallCaps w:val="0"/>
          <w:sz w:val="22"/>
          <w:szCs w:val="22"/>
          <w:lang w:eastAsia="ro-RO"/>
        </w:rPr>
      </w:pPr>
      <w:hyperlink w:anchor="_Toc104197264" w:history="1">
        <w:r w:rsidRPr="00C8725A">
          <w:rPr>
            <w:rStyle w:val="Hyperlink"/>
          </w:rPr>
          <w:t>Informaţie Europeană</w:t>
        </w:r>
        <w:r>
          <w:rPr>
            <w:webHidden/>
          </w:rPr>
          <w:tab/>
        </w:r>
        <w:r>
          <w:rPr>
            <w:webHidden/>
          </w:rPr>
          <w:fldChar w:fldCharType="begin"/>
        </w:r>
        <w:r>
          <w:rPr>
            <w:webHidden/>
          </w:rPr>
          <w:instrText xml:space="preserve"> PAGEREF _Toc104197264 \h </w:instrText>
        </w:r>
        <w:r>
          <w:rPr>
            <w:webHidden/>
          </w:rPr>
        </w:r>
        <w:r>
          <w:rPr>
            <w:webHidden/>
          </w:rPr>
          <w:fldChar w:fldCharType="separate"/>
        </w:r>
        <w:r w:rsidR="008A0424">
          <w:rPr>
            <w:webHidden/>
          </w:rPr>
          <w:t>12</w:t>
        </w:r>
        <w:r>
          <w:rPr>
            <w:webHidden/>
          </w:rPr>
          <w:fldChar w:fldCharType="end"/>
        </w:r>
      </w:hyperlink>
    </w:p>
    <w:p w14:paraId="0EB934BD" w14:textId="1381E5BA" w:rsidR="00272932" w:rsidRDefault="00272932">
      <w:pPr>
        <w:pStyle w:val="TOC2"/>
        <w:rPr>
          <w:rFonts w:asciiTheme="minorHAnsi" w:eastAsiaTheme="minorEastAsia" w:hAnsiTheme="minorHAnsi" w:cstheme="minorBidi"/>
          <w:b w:val="0"/>
          <w:bCs w:val="0"/>
          <w:smallCaps w:val="0"/>
          <w:sz w:val="22"/>
          <w:szCs w:val="22"/>
          <w:lang w:eastAsia="ro-RO"/>
        </w:rPr>
      </w:pPr>
      <w:hyperlink w:anchor="_Toc104197265" w:history="1">
        <w:r w:rsidRPr="00C8725A">
          <w:rPr>
            <w:rStyle w:val="Hyperlink"/>
          </w:rPr>
          <w:t>NOUTĂȚI – Informații UTILE</w:t>
        </w:r>
        <w:r>
          <w:rPr>
            <w:webHidden/>
          </w:rPr>
          <w:tab/>
        </w:r>
        <w:r>
          <w:rPr>
            <w:webHidden/>
          </w:rPr>
          <w:fldChar w:fldCharType="begin"/>
        </w:r>
        <w:r>
          <w:rPr>
            <w:webHidden/>
          </w:rPr>
          <w:instrText xml:space="preserve"> PAGEREF _Toc104197265 \h </w:instrText>
        </w:r>
        <w:r>
          <w:rPr>
            <w:webHidden/>
          </w:rPr>
        </w:r>
        <w:r>
          <w:rPr>
            <w:webHidden/>
          </w:rPr>
          <w:fldChar w:fldCharType="separate"/>
        </w:r>
        <w:r w:rsidR="008A0424">
          <w:rPr>
            <w:webHidden/>
          </w:rPr>
          <w:t>13</w:t>
        </w:r>
        <w:r>
          <w:rPr>
            <w:webHidden/>
          </w:rPr>
          <w:fldChar w:fldCharType="end"/>
        </w:r>
      </w:hyperlink>
    </w:p>
    <w:p w14:paraId="7228F4D9" w14:textId="00305B52" w:rsidR="00272932" w:rsidRDefault="00272932">
      <w:pPr>
        <w:pStyle w:val="TOC4"/>
        <w:rPr>
          <w:rFonts w:asciiTheme="minorHAnsi" w:eastAsiaTheme="minorEastAsia" w:hAnsiTheme="minorHAnsi" w:cstheme="minorBidi"/>
          <w:sz w:val="22"/>
          <w:szCs w:val="22"/>
          <w:lang w:eastAsia="ro-RO"/>
        </w:rPr>
      </w:pPr>
      <w:hyperlink w:anchor="_Toc104197266" w:history="1">
        <w:r w:rsidRPr="00C8725A">
          <w:rPr>
            <w:rStyle w:val="Hyperlink"/>
          </w:rPr>
          <w:t>Investiții pentru dezvoltarea și extinderea sistemului informatic al APIA</w:t>
        </w:r>
        <w:r>
          <w:rPr>
            <w:webHidden/>
          </w:rPr>
          <w:tab/>
        </w:r>
        <w:r>
          <w:rPr>
            <w:webHidden/>
          </w:rPr>
          <w:fldChar w:fldCharType="begin"/>
        </w:r>
        <w:r>
          <w:rPr>
            <w:webHidden/>
          </w:rPr>
          <w:instrText xml:space="preserve"> PAGEREF _Toc104197266 \h </w:instrText>
        </w:r>
        <w:r>
          <w:rPr>
            <w:webHidden/>
          </w:rPr>
        </w:r>
        <w:r>
          <w:rPr>
            <w:webHidden/>
          </w:rPr>
          <w:fldChar w:fldCharType="separate"/>
        </w:r>
        <w:r w:rsidR="008A0424">
          <w:rPr>
            <w:webHidden/>
          </w:rPr>
          <w:t>13</w:t>
        </w:r>
        <w:r>
          <w:rPr>
            <w:webHidden/>
          </w:rPr>
          <w:fldChar w:fldCharType="end"/>
        </w:r>
      </w:hyperlink>
    </w:p>
    <w:p w14:paraId="28461FE5" w14:textId="77777777" w:rsidR="00272932" w:rsidRDefault="00272932">
      <w:pPr>
        <w:pStyle w:val="TOC4"/>
        <w:rPr>
          <w:rFonts w:asciiTheme="minorHAnsi" w:eastAsiaTheme="minorEastAsia" w:hAnsiTheme="minorHAnsi" w:cstheme="minorBidi"/>
          <w:sz w:val="22"/>
          <w:szCs w:val="22"/>
          <w:lang w:eastAsia="ro-RO"/>
        </w:rPr>
      </w:pPr>
      <w:hyperlink w:anchor="_Toc104197267" w:history="1">
        <w:r w:rsidRPr="00C8725A">
          <w:rPr>
            <w:rStyle w:val="Hyperlink"/>
          </w:rPr>
          <w:t>Peste 109 de milioane de euro, fonduri europene nerambursabile, pentru apicultori</w:t>
        </w:r>
        <w:r>
          <w:rPr>
            <w:webHidden/>
          </w:rPr>
          <w:tab/>
        </w:r>
        <w:r>
          <w:rPr>
            <w:webHidden/>
          </w:rPr>
          <w:fldChar w:fldCharType="begin"/>
        </w:r>
        <w:r>
          <w:rPr>
            <w:webHidden/>
          </w:rPr>
          <w:instrText xml:space="preserve"> PAGEREF _Toc104197267 \h </w:instrText>
        </w:r>
        <w:r>
          <w:rPr>
            <w:webHidden/>
          </w:rPr>
        </w:r>
        <w:r>
          <w:rPr>
            <w:webHidden/>
          </w:rPr>
          <w:fldChar w:fldCharType="separate"/>
        </w:r>
        <w:r w:rsidR="008A0424">
          <w:rPr>
            <w:webHidden/>
          </w:rPr>
          <w:t>13</w:t>
        </w:r>
        <w:r>
          <w:rPr>
            <w:webHidden/>
          </w:rPr>
          <w:fldChar w:fldCharType="end"/>
        </w:r>
      </w:hyperlink>
    </w:p>
    <w:p w14:paraId="25425FCC" w14:textId="4B9A0F9A" w:rsidR="00272932" w:rsidRDefault="00272932">
      <w:pPr>
        <w:pStyle w:val="TOC4"/>
        <w:rPr>
          <w:rFonts w:asciiTheme="minorHAnsi" w:eastAsiaTheme="minorEastAsia" w:hAnsiTheme="minorHAnsi" w:cstheme="minorBidi"/>
          <w:sz w:val="22"/>
          <w:szCs w:val="22"/>
          <w:lang w:eastAsia="ro-RO"/>
        </w:rPr>
      </w:pPr>
      <w:hyperlink w:anchor="_Toc104197268" w:history="1">
        <w:r w:rsidRPr="00C8725A">
          <w:rPr>
            <w:rStyle w:val="Hyperlink"/>
          </w:rPr>
          <w:t>Au fost semnate contractele pentru emiterea cardurilor necesare pentru plata ajutoarelor sociale</w:t>
        </w:r>
        <w:r>
          <w:rPr>
            <w:webHidden/>
          </w:rPr>
          <w:tab/>
        </w:r>
        <w:r>
          <w:rPr>
            <w:webHidden/>
          </w:rPr>
          <w:fldChar w:fldCharType="begin"/>
        </w:r>
        <w:r>
          <w:rPr>
            <w:webHidden/>
          </w:rPr>
          <w:instrText xml:space="preserve"> PAGEREF _Toc104197268 \h </w:instrText>
        </w:r>
        <w:r>
          <w:rPr>
            <w:webHidden/>
          </w:rPr>
        </w:r>
        <w:r>
          <w:rPr>
            <w:webHidden/>
          </w:rPr>
          <w:fldChar w:fldCharType="separate"/>
        </w:r>
        <w:r w:rsidR="008A0424">
          <w:rPr>
            <w:webHidden/>
          </w:rPr>
          <w:t>14</w:t>
        </w:r>
        <w:r>
          <w:rPr>
            <w:webHidden/>
          </w:rPr>
          <w:fldChar w:fldCharType="end"/>
        </w:r>
      </w:hyperlink>
    </w:p>
    <w:p w14:paraId="7E61D326" w14:textId="7FFB7691" w:rsidR="00272932" w:rsidRDefault="00272932">
      <w:pPr>
        <w:pStyle w:val="TOC4"/>
        <w:rPr>
          <w:rFonts w:asciiTheme="minorHAnsi" w:eastAsiaTheme="minorEastAsia" w:hAnsiTheme="minorHAnsi" w:cstheme="minorBidi"/>
          <w:sz w:val="22"/>
          <w:szCs w:val="22"/>
          <w:lang w:eastAsia="ro-RO"/>
        </w:rPr>
      </w:pPr>
      <w:hyperlink w:anchor="_Toc104197269" w:history="1">
        <w:r w:rsidRPr="00C8725A">
          <w:rPr>
            <w:rStyle w:val="Hyperlink"/>
          </w:rPr>
          <w:t>POR Vest 2021-2027, avizat de Executiv și transmis către Comisia Europeană</w:t>
        </w:r>
        <w:r>
          <w:rPr>
            <w:webHidden/>
          </w:rPr>
          <w:tab/>
        </w:r>
        <w:r>
          <w:rPr>
            <w:webHidden/>
          </w:rPr>
          <w:fldChar w:fldCharType="begin"/>
        </w:r>
        <w:r>
          <w:rPr>
            <w:webHidden/>
          </w:rPr>
          <w:instrText xml:space="preserve"> PAGEREF _Toc104197269 \h </w:instrText>
        </w:r>
        <w:r>
          <w:rPr>
            <w:webHidden/>
          </w:rPr>
        </w:r>
        <w:r>
          <w:rPr>
            <w:webHidden/>
          </w:rPr>
          <w:fldChar w:fldCharType="separate"/>
        </w:r>
        <w:r w:rsidR="008A0424">
          <w:rPr>
            <w:webHidden/>
          </w:rPr>
          <w:t>14</w:t>
        </w:r>
        <w:r>
          <w:rPr>
            <w:webHidden/>
          </w:rPr>
          <w:fldChar w:fldCharType="end"/>
        </w:r>
      </w:hyperlink>
    </w:p>
    <w:p w14:paraId="09EE41EF" w14:textId="6D8A38F3" w:rsidR="00272932" w:rsidRDefault="00272932">
      <w:pPr>
        <w:pStyle w:val="TOC4"/>
        <w:rPr>
          <w:rFonts w:asciiTheme="minorHAnsi" w:eastAsiaTheme="minorEastAsia" w:hAnsiTheme="minorHAnsi" w:cstheme="minorBidi"/>
          <w:sz w:val="22"/>
          <w:szCs w:val="22"/>
          <w:lang w:eastAsia="ro-RO"/>
        </w:rPr>
      </w:pPr>
      <w:hyperlink w:anchor="_Toc104197270" w:history="1">
        <w:r w:rsidRPr="00C8725A">
          <w:rPr>
            <w:rStyle w:val="Hyperlink"/>
          </w:rPr>
          <w:t>REPowerEU: Un nou plan în lucru la nivelul Comisiei Europene pentru sprijinirea soluțiilor și investițiilor în sectorul energetic</w:t>
        </w:r>
        <w:r>
          <w:rPr>
            <w:webHidden/>
          </w:rPr>
          <w:tab/>
        </w:r>
        <w:r>
          <w:rPr>
            <w:webHidden/>
          </w:rPr>
          <w:fldChar w:fldCharType="begin"/>
        </w:r>
        <w:r>
          <w:rPr>
            <w:webHidden/>
          </w:rPr>
          <w:instrText xml:space="preserve"> PAGEREF _Toc104197270 \h </w:instrText>
        </w:r>
        <w:r>
          <w:rPr>
            <w:webHidden/>
          </w:rPr>
        </w:r>
        <w:r>
          <w:rPr>
            <w:webHidden/>
          </w:rPr>
          <w:fldChar w:fldCharType="separate"/>
        </w:r>
        <w:r w:rsidR="008A0424">
          <w:rPr>
            <w:webHidden/>
          </w:rPr>
          <w:t>15</w:t>
        </w:r>
        <w:r>
          <w:rPr>
            <w:webHidden/>
          </w:rPr>
          <w:fldChar w:fldCharType="end"/>
        </w:r>
      </w:hyperlink>
    </w:p>
    <w:p w14:paraId="14641B4F" w14:textId="25730602" w:rsidR="00272932" w:rsidRDefault="00272932">
      <w:pPr>
        <w:pStyle w:val="TOC4"/>
        <w:rPr>
          <w:rFonts w:asciiTheme="minorHAnsi" w:eastAsiaTheme="minorEastAsia" w:hAnsiTheme="minorHAnsi" w:cstheme="minorBidi"/>
          <w:sz w:val="22"/>
          <w:szCs w:val="22"/>
          <w:lang w:eastAsia="ro-RO"/>
        </w:rPr>
      </w:pPr>
      <w:hyperlink w:anchor="_Toc104197271" w:history="1">
        <w:r w:rsidRPr="00C8725A">
          <w:rPr>
            <w:rStyle w:val="Hyperlink"/>
          </w:rPr>
          <w:t>Modificări la ghidul dedicat administratorilor de grant pe apelul aferent microgranturilor și granturilor pentru capital de lucru în domeniul agroalimentar</w:t>
        </w:r>
        <w:r>
          <w:rPr>
            <w:webHidden/>
          </w:rPr>
          <w:tab/>
        </w:r>
        <w:r>
          <w:rPr>
            <w:webHidden/>
          </w:rPr>
          <w:fldChar w:fldCharType="begin"/>
        </w:r>
        <w:r>
          <w:rPr>
            <w:webHidden/>
          </w:rPr>
          <w:instrText xml:space="preserve"> PAGEREF _Toc104197271 \h </w:instrText>
        </w:r>
        <w:r>
          <w:rPr>
            <w:webHidden/>
          </w:rPr>
        </w:r>
        <w:r>
          <w:rPr>
            <w:webHidden/>
          </w:rPr>
          <w:fldChar w:fldCharType="separate"/>
        </w:r>
        <w:r w:rsidR="008A0424">
          <w:rPr>
            <w:webHidden/>
          </w:rPr>
          <w:t>15</w:t>
        </w:r>
        <w:r>
          <w:rPr>
            <w:webHidden/>
          </w:rPr>
          <w:fldChar w:fldCharType="end"/>
        </w:r>
      </w:hyperlink>
    </w:p>
    <w:p w14:paraId="5F7862FD" w14:textId="5658A2FC" w:rsidR="00272932" w:rsidRDefault="00272932">
      <w:pPr>
        <w:pStyle w:val="TOC4"/>
        <w:rPr>
          <w:rFonts w:asciiTheme="minorHAnsi" w:eastAsiaTheme="minorEastAsia" w:hAnsiTheme="minorHAnsi" w:cstheme="minorBidi"/>
          <w:sz w:val="22"/>
          <w:szCs w:val="22"/>
          <w:lang w:eastAsia="ro-RO"/>
        </w:rPr>
      </w:pPr>
      <w:hyperlink w:anchor="_Toc104197272" w:history="1">
        <w:r w:rsidRPr="00C8725A">
          <w:rPr>
            <w:rStyle w:val="Hyperlink"/>
          </w:rPr>
          <w:t>Aproximativ 779 de mii de cereri unice depuse în cadrul Campaniei depunere Cereri de plată 2022</w:t>
        </w:r>
        <w:r>
          <w:rPr>
            <w:webHidden/>
          </w:rPr>
          <w:tab/>
        </w:r>
        <w:r>
          <w:rPr>
            <w:webHidden/>
          </w:rPr>
          <w:fldChar w:fldCharType="begin"/>
        </w:r>
        <w:r>
          <w:rPr>
            <w:webHidden/>
          </w:rPr>
          <w:instrText xml:space="preserve"> PAGEREF _Toc104197272 \h </w:instrText>
        </w:r>
        <w:r>
          <w:rPr>
            <w:webHidden/>
          </w:rPr>
        </w:r>
        <w:r>
          <w:rPr>
            <w:webHidden/>
          </w:rPr>
          <w:fldChar w:fldCharType="separate"/>
        </w:r>
        <w:r w:rsidR="008A0424">
          <w:rPr>
            <w:webHidden/>
          </w:rPr>
          <w:t>16</w:t>
        </w:r>
        <w:r>
          <w:rPr>
            <w:webHidden/>
          </w:rPr>
          <w:fldChar w:fldCharType="end"/>
        </w:r>
      </w:hyperlink>
    </w:p>
    <w:p w14:paraId="287A7414" w14:textId="77777777" w:rsidR="00272932" w:rsidRDefault="00272932">
      <w:pPr>
        <w:pStyle w:val="TOC4"/>
        <w:rPr>
          <w:rFonts w:asciiTheme="minorHAnsi" w:eastAsiaTheme="minorEastAsia" w:hAnsiTheme="minorHAnsi" w:cstheme="minorBidi"/>
          <w:sz w:val="22"/>
          <w:szCs w:val="22"/>
          <w:lang w:eastAsia="ro-RO"/>
        </w:rPr>
      </w:pPr>
      <w:hyperlink w:anchor="_Toc104197273" w:history="1">
        <w:r w:rsidRPr="00C8725A">
          <w:rPr>
            <w:rStyle w:val="Hyperlink"/>
          </w:rPr>
          <w:t>Previziuni economice de primăvară ale Comisiei Europene: Economia României urmează să încetinească până la 2,6% în 2022</w:t>
        </w:r>
        <w:r>
          <w:rPr>
            <w:webHidden/>
          </w:rPr>
          <w:tab/>
        </w:r>
        <w:r>
          <w:rPr>
            <w:webHidden/>
          </w:rPr>
          <w:fldChar w:fldCharType="begin"/>
        </w:r>
        <w:r>
          <w:rPr>
            <w:webHidden/>
          </w:rPr>
          <w:instrText xml:space="preserve"> PAGEREF _Toc104197273 \h </w:instrText>
        </w:r>
        <w:r>
          <w:rPr>
            <w:webHidden/>
          </w:rPr>
        </w:r>
        <w:r>
          <w:rPr>
            <w:webHidden/>
          </w:rPr>
          <w:fldChar w:fldCharType="separate"/>
        </w:r>
        <w:r w:rsidR="008A0424">
          <w:rPr>
            <w:webHidden/>
          </w:rPr>
          <w:t>16</w:t>
        </w:r>
        <w:r>
          <w:rPr>
            <w:webHidden/>
          </w:rPr>
          <w:fldChar w:fldCharType="end"/>
        </w:r>
      </w:hyperlink>
    </w:p>
    <w:p w14:paraId="7CC3F9E1" w14:textId="2223DC6D" w:rsidR="00272932" w:rsidRDefault="00272932">
      <w:pPr>
        <w:pStyle w:val="TOC4"/>
        <w:rPr>
          <w:rFonts w:asciiTheme="minorHAnsi" w:eastAsiaTheme="minorEastAsia" w:hAnsiTheme="minorHAnsi" w:cstheme="minorBidi"/>
          <w:sz w:val="22"/>
          <w:szCs w:val="22"/>
          <w:lang w:eastAsia="ro-RO"/>
        </w:rPr>
      </w:pPr>
      <w:hyperlink w:anchor="_Toc104197274" w:history="1">
        <w:r w:rsidRPr="00C8725A">
          <w:rPr>
            <w:rStyle w:val="Hyperlink"/>
          </w:rPr>
          <w:t>PNDR: Peste 60 de miliarde de euro plătite în ultima lună beneficiarilor FEADR</w:t>
        </w:r>
        <w:r>
          <w:rPr>
            <w:webHidden/>
          </w:rPr>
          <w:tab/>
        </w:r>
        <w:r>
          <w:rPr>
            <w:webHidden/>
          </w:rPr>
          <w:fldChar w:fldCharType="begin"/>
        </w:r>
        <w:r>
          <w:rPr>
            <w:webHidden/>
          </w:rPr>
          <w:instrText xml:space="preserve"> PAGEREF _Toc104197274 \h </w:instrText>
        </w:r>
        <w:r>
          <w:rPr>
            <w:webHidden/>
          </w:rPr>
        </w:r>
        <w:r>
          <w:rPr>
            <w:webHidden/>
          </w:rPr>
          <w:fldChar w:fldCharType="separate"/>
        </w:r>
        <w:r w:rsidR="008A0424">
          <w:rPr>
            <w:webHidden/>
          </w:rPr>
          <w:t>17</w:t>
        </w:r>
        <w:r>
          <w:rPr>
            <w:webHidden/>
          </w:rPr>
          <w:fldChar w:fldCharType="end"/>
        </w:r>
      </w:hyperlink>
    </w:p>
    <w:p w14:paraId="05562C0C" w14:textId="7E4E5368" w:rsidR="00272932" w:rsidRDefault="00272932">
      <w:pPr>
        <w:pStyle w:val="TOC2"/>
        <w:rPr>
          <w:rFonts w:asciiTheme="minorHAnsi" w:eastAsiaTheme="minorEastAsia" w:hAnsiTheme="minorHAnsi" w:cstheme="minorBidi"/>
          <w:b w:val="0"/>
          <w:bCs w:val="0"/>
          <w:smallCaps w:val="0"/>
          <w:sz w:val="22"/>
          <w:szCs w:val="22"/>
          <w:lang w:eastAsia="ro-RO"/>
        </w:rPr>
      </w:pPr>
      <w:hyperlink w:anchor="_Toc104197275" w:history="1">
        <w:r w:rsidRPr="00C8725A">
          <w:rPr>
            <w:rStyle w:val="Hyperlink"/>
          </w:rPr>
          <w:t>PNRR</w:t>
        </w:r>
        <w:r>
          <w:rPr>
            <w:webHidden/>
          </w:rPr>
          <w:tab/>
        </w:r>
        <w:r>
          <w:rPr>
            <w:webHidden/>
          </w:rPr>
          <w:fldChar w:fldCharType="begin"/>
        </w:r>
        <w:r>
          <w:rPr>
            <w:webHidden/>
          </w:rPr>
          <w:instrText xml:space="preserve"> PAGEREF _Toc104197275 \h </w:instrText>
        </w:r>
        <w:r>
          <w:rPr>
            <w:webHidden/>
          </w:rPr>
        </w:r>
        <w:r>
          <w:rPr>
            <w:webHidden/>
          </w:rPr>
          <w:fldChar w:fldCharType="separate"/>
        </w:r>
        <w:r w:rsidR="008A0424">
          <w:rPr>
            <w:webHidden/>
          </w:rPr>
          <w:t>17</w:t>
        </w:r>
        <w:r>
          <w:rPr>
            <w:webHidden/>
          </w:rPr>
          <w:fldChar w:fldCharType="end"/>
        </w:r>
      </w:hyperlink>
    </w:p>
    <w:p w14:paraId="55E46CD9" w14:textId="73529A82" w:rsidR="00272932" w:rsidRDefault="00272932">
      <w:pPr>
        <w:pStyle w:val="TOC4"/>
        <w:rPr>
          <w:rFonts w:asciiTheme="minorHAnsi" w:eastAsiaTheme="minorEastAsia" w:hAnsiTheme="minorHAnsi" w:cstheme="minorBidi"/>
          <w:sz w:val="22"/>
          <w:szCs w:val="22"/>
          <w:lang w:eastAsia="ro-RO"/>
        </w:rPr>
      </w:pPr>
      <w:hyperlink w:anchor="_Toc104197276" w:history="1">
        <w:r w:rsidRPr="00C8725A">
          <w:rPr>
            <w:rStyle w:val="Hyperlink"/>
          </w:rPr>
          <w:t>PNRR: Cadrul pentru derularea instrumentelor financiare pentru digitalizare, acțiune climatică și alte domenii, în consultare publică!</w:t>
        </w:r>
        <w:r>
          <w:rPr>
            <w:webHidden/>
          </w:rPr>
          <w:tab/>
        </w:r>
        <w:r>
          <w:rPr>
            <w:webHidden/>
          </w:rPr>
          <w:fldChar w:fldCharType="begin"/>
        </w:r>
        <w:r>
          <w:rPr>
            <w:webHidden/>
          </w:rPr>
          <w:instrText xml:space="preserve"> PAGEREF _Toc104197276 \h </w:instrText>
        </w:r>
        <w:r>
          <w:rPr>
            <w:webHidden/>
          </w:rPr>
        </w:r>
        <w:r>
          <w:rPr>
            <w:webHidden/>
          </w:rPr>
          <w:fldChar w:fldCharType="separate"/>
        </w:r>
        <w:r w:rsidR="008A0424">
          <w:rPr>
            <w:webHidden/>
          </w:rPr>
          <w:t>17</w:t>
        </w:r>
        <w:r>
          <w:rPr>
            <w:webHidden/>
          </w:rPr>
          <w:fldChar w:fldCharType="end"/>
        </w:r>
      </w:hyperlink>
    </w:p>
    <w:p w14:paraId="3730AC48" w14:textId="77777777" w:rsidR="00272932" w:rsidRDefault="00272932">
      <w:pPr>
        <w:pStyle w:val="TOC4"/>
        <w:rPr>
          <w:rFonts w:asciiTheme="minorHAnsi" w:eastAsiaTheme="minorEastAsia" w:hAnsiTheme="minorHAnsi" w:cstheme="minorBidi"/>
          <w:sz w:val="22"/>
          <w:szCs w:val="22"/>
          <w:lang w:eastAsia="ro-RO"/>
        </w:rPr>
      </w:pPr>
      <w:hyperlink w:anchor="_Toc104197277" w:history="1">
        <w:r w:rsidRPr="00C8725A">
          <w:rPr>
            <w:rStyle w:val="Hyperlink"/>
          </w:rPr>
          <w:t>PNRR: 784 de cereri de finanțare depuse în prima oră de la deschiderea apelurilor pe componenta „Fondul Local”</w:t>
        </w:r>
        <w:r>
          <w:rPr>
            <w:webHidden/>
          </w:rPr>
          <w:tab/>
        </w:r>
        <w:r>
          <w:rPr>
            <w:webHidden/>
          </w:rPr>
          <w:fldChar w:fldCharType="begin"/>
        </w:r>
        <w:r>
          <w:rPr>
            <w:webHidden/>
          </w:rPr>
          <w:instrText xml:space="preserve"> PAGEREF _Toc104197277 \h </w:instrText>
        </w:r>
        <w:r>
          <w:rPr>
            <w:webHidden/>
          </w:rPr>
        </w:r>
        <w:r>
          <w:rPr>
            <w:webHidden/>
          </w:rPr>
          <w:fldChar w:fldCharType="separate"/>
        </w:r>
        <w:r w:rsidR="008A0424">
          <w:rPr>
            <w:webHidden/>
          </w:rPr>
          <w:t>18</w:t>
        </w:r>
        <w:r>
          <w:rPr>
            <w:webHidden/>
          </w:rPr>
          <w:fldChar w:fldCharType="end"/>
        </w:r>
      </w:hyperlink>
    </w:p>
    <w:p w14:paraId="614E0BC3" w14:textId="77777777" w:rsidR="00272932" w:rsidRDefault="00272932">
      <w:pPr>
        <w:pStyle w:val="TOC2"/>
        <w:rPr>
          <w:rFonts w:asciiTheme="minorHAnsi" w:eastAsiaTheme="minorEastAsia" w:hAnsiTheme="minorHAnsi" w:cstheme="minorBidi"/>
          <w:b w:val="0"/>
          <w:bCs w:val="0"/>
          <w:smallCaps w:val="0"/>
          <w:sz w:val="22"/>
          <w:szCs w:val="22"/>
          <w:lang w:eastAsia="ro-RO"/>
        </w:rPr>
      </w:pPr>
      <w:hyperlink w:anchor="_Toc104197278" w:history="1">
        <w:r w:rsidRPr="00C8725A">
          <w:rPr>
            <w:rStyle w:val="Hyperlink"/>
          </w:rPr>
          <w:t>Consultări publice</w:t>
        </w:r>
        <w:r>
          <w:rPr>
            <w:webHidden/>
          </w:rPr>
          <w:tab/>
        </w:r>
        <w:r>
          <w:rPr>
            <w:webHidden/>
          </w:rPr>
          <w:fldChar w:fldCharType="begin"/>
        </w:r>
        <w:r>
          <w:rPr>
            <w:webHidden/>
          </w:rPr>
          <w:instrText xml:space="preserve"> PAGEREF _Toc104197278 \h </w:instrText>
        </w:r>
        <w:r>
          <w:rPr>
            <w:webHidden/>
          </w:rPr>
        </w:r>
        <w:r>
          <w:rPr>
            <w:webHidden/>
          </w:rPr>
          <w:fldChar w:fldCharType="separate"/>
        </w:r>
        <w:r w:rsidR="008A0424">
          <w:rPr>
            <w:webHidden/>
          </w:rPr>
          <w:t>18</w:t>
        </w:r>
        <w:r>
          <w:rPr>
            <w:webHidden/>
          </w:rPr>
          <w:fldChar w:fldCharType="end"/>
        </w:r>
      </w:hyperlink>
    </w:p>
    <w:p w14:paraId="0A262E3B" w14:textId="77777777" w:rsidR="00272932" w:rsidRDefault="00272932">
      <w:pPr>
        <w:pStyle w:val="TOC4"/>
        <w:rPr>
          <w:rFonts w:asciiTheme="minorHAnsi" w:eastAsiaTheme="minorEastAsia" w:hAnsiTheme="minorHAnsi" w:cstheme="minorBidi"/>
          <w:sz w:val="22"/>
          <w:szCs w:val="22"/>
          <w:lang w:eastAsia="ro-RO"/>
        </w:rPr>
      </w:pPr>
      <w:hyperlink w:anchor="_Toc104197279" w:history="1">
        <w:r w:rsidRPr="00C8725A">
          <w:rPr>
            <w:rStyle w:val="Hyperlink"/>
          </w:rPr>
          <w:t>Procedura pentru acordarea de microgranturi întreprinderilor din sectorul agroalimentar, în consultare publică!</w:t>
        </w:r>
        <w:r>
          <w:rPr>
            <w:webHidden/>
          </w:rPr>
          <w:tab/>
        </w:r>
        <w:r>
          <w:rPr>
            <w:webHidden/>
          </w:rPr>
          <w:fldChar w:fldCharType="begin"/>
        </w:r>
        <w:r>
          <w:rPr>
            <w:webHidden/>
          </w:rPr>
          <w:instrText xml:space="preserve"> PAGEREF _Toc104197279 \h </w:instrText>
        </w:r>
        <w:r>
          <w:rPr>
            <w:webHidden/>
          </w:rPr>
        </w:r>
        <w:r>
          <w:rPr>
            <w:webHidden/>
          </w:rPr>
          <w:fldChar w:fldCharType="separate"/>
        </w:r>
        <w:r w:rsidR="008A0424">
          <w:rPr>
            <w:webHidden/>
          </w:rPr>
          <w:t>18</w:t>
        </w:r>
        <w:r>
          <w:rPr>
            <w:webHidden/>
          </w:rPr>
          <w:fldChar w:fldCharType="end"/>
        </w:r>
      </w:hyperlink>
    </w:p>
    <w:p w14:paraId="75C8409B" w14:textId="77777777" w:rsidR="00272932" w:rsidRDefault="00272932">
      <w:pPr>
        <w:pStyle w:val="TOC4"/>
        <w:rPr>
          <w:rFonts w:asciiTheme="minorHAnsi" w:eastAsiaTheme="minorEastAsia" w:hAnsiTheme="minorHAnsi" w:cstheme="minorBidi"/>
          <w:sz w:val="22"/>
          <w:szCs w:val="22"/>
          <w:lang w:eastAsia="ro-RO"/>
        </w:rPr>
      </w:pPr>
      <w:hyperlink w:anchor="_Toc104197280" w:history="1">
        <w:r w:rsidRPr="00C8725A">
          <w:rPr>
            <w:rStyle w:val="Hyperlink"/>
          </w:rPr>
          <w:t>Boloș: Măsura 4.1.1 va fi lansată la începutul lunii iulie. În iunie va fi publicată în consultare</w:t>
        </w:r>
        <w:r>
          <w:rPr>
            <w:webHidden/>
          </w:rPr>
          <w:tab/>
        </w:r>
        <w:r>
          <w:rPr>
            <w:webHidden/>
          </w:rPr>
          <w:fldChar w:fldCharType="begin"/>
        </w:r>
        <w:r>
          <w:rPr>
            <w:webHidden/>
          </w:rPr>
          <w:instrText xml:space="preserve"> PAGEREF _Toc104197280 \h </w:instrText>
        </w:r>
        <w:r>
          <w:rPr>
            <w:webHidden/>
          </w:rPr>
        </w:r>
        <w:r>
          <w:rPr>
            <w:webHidden/>
          </w:rPr>
          <w:fldChar w:fldCharType="separate"/>
        </w:r>
        <w:r w:rsidR="008A0424">
          <w:rPr>
            <w:webHidden/>
          </w:rPr>
          <w:t>20</w:t>
        </w:r>
        <w:r>
          <w:rPr>
            <w:webHidden/>
          </w:rPr>
          <w:fldChar w:fldCharType="end"/>
        </w:r>
      </w:hyperlink>
    </w:p>
    <w:p w14:paraId="718E69CF" w14:textId="77777777" w:rsidR="00272932" w:rsidRDefault="00272932">
      <w:pPr>
        <w:pStyle w:val="TOC2"/>
        <w:rPr>
          <w:rStyle w:val="Hyperlink"/>
        </w:rPr>
      </w:pPr>
    </w:p>
    <w:p w14:paraId="7F7E16C4" w14:textId="77777777" w:rsidR="00272932" w:rsidRDefault="00272932">
      <w:pPr>
        <w:pStyle w:val="TOC2"/>
        <w:rPr>
          <w:rStyle w:val="Hyperlink"/>
        </w:rPr>
      </w:pPr>
    </w:p>
    <w:p w14:paraId="233C650D" w14:textId="77777777" w:rsidR="00272932" w:rsidRDefault="00272932">
      <w:pPr>
        <w:pStyle w:val="TOC2"/>
        <w:rPr>
          <w:rStyle w:val="Hyperlink"/>
        </w:rPr>
      </w:pPr>
    </w:p>
    <w:p w14:paraId="1E637CD6" w14:textId="60EDBC64" w:rsidR="00272932" w:rsidRDefault="00272932">
      <w:pPr>
        <w:pStyle w:val="TOC2"/>
        <w:rPr>
          <w:rFonts w:asciiTheme="minorHAnsi" w:eastAsiaTheme="minorEastAsia" w:hAnsiTheme="minorHAnsi" w:cstheme="minorBidi"/>
          <w:b w:val="0"/>
          <w:bCs w:val="0"/>
          <w:smallCaps w:val="0"/>
          <w:sz w:val="22"/>
          <w:szCs w:val="22"/>
          <w:lang w:eastAsia="ro-RO"/>
        </w:rPr>
      </w:pPr>
      <w:r>
        <w:rPr>
          <w:lang w:eastAsia="ro-RO"/>
        </w:rPr>
        <w:lastRenderedPageBreak/>
        <mc:AlternateContent>
          <mc:Choice Requires="wps">
            <w:drawing>
              <wp:anchor distT="0" distB="0" distL="114300" distR="114300" simplePos="0" relativeHeight="252109824" behindDoc="1" locked="0" layoutInCell="1" allowOverlap="1" wp14:anchorId="72BA2594" wp14:editId="1D688755">
                <wp:simplePos x="0" y="0"/>
                <wp:positionH relativeFrom="column">
                  <wp:posOffset>233680</wp:posOffset>
                </wp:positionH>
                <wp:positionV relativeFrom="page">
                  <wp:posOffset>1000125</wp:posOffset>
                </wp:positionV>
                <wp:extent cx="6064885" cy="8001000"/>
                <wp:effectExtent l="38100" t="38100" r="31115" b="38100"/>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001000"/>
                        </a:xfrm>
                        <a:prstGeom prst="rect">
                          <a:avLst/>
                        </a:prstGeom>
                        <a:solidFill>
                          <a:srgbClr val="CDDDEB">
                            <a:alpha val="80000"/>
                          </a:srgbClr>
                        </a:solidFill>
                        <a:ln w="79375" cmpd="thickThin">
                          <a:solidFill>
                            <a:srgbClr val="808080"/>
                          </a:solidFill>
                          <a:miter lim="800000"/>
                          <a:headEnd/>
                          <a:tailEnd/>
                        </a:ln>
                      </wps:spPr>
                      <wps:txbx>
                        <w:txbxContent>
                          <w:p w14:paraId="62ADD2CD" w14:textId="77777777" w:rsidR="00272932" w:rsidRDefault="00272932" w:rsidP="00272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A2594" id="_x0000_s1028" style="position:absolute;left:0;text-align:left;margin-left:18.4pt;margin-top:78.75pt;width:477.55pt;height:630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" fillcolor="#cdddeb" strokecolor="gray" strokeweight="6.25pt">
                <v:fill opacity="52428f"/>
                <v:stroke linestyle="thickThin"/>
                <v:textbox>
                  <w:txbxContent>
                    <w:p w14:paraId="62ADD2CD" w14:textId="77777777" w:rsidR="00272932" w:rsidRDefault="00272932" w:rsidP="00272932"/>
                  </w:txbxContent>
                </v:textbox>
                <w10:wrap anchory="page"/>
              </v:rect>
            </w:pict>
          </mc:Fallback>
        </mc:AlternateContent>
      </w:r>
      <w:hyperlink w:anchor="_Toc104197281" w:history="1">
        <w:r w:rsidRPr="00C8725A">
          <w:rPr>
            <w:rStyle w:val="Hyperlink"/>
          </w:rPr>
          <w:t>APELURI – Finanțări</w:t>
        </w:r>
        <w:r>
          <w:rPr>
            <w:webHidden/>
          </w:rPr>
          <w:tab/>
        </w:r>
        <w:r>
          <w:rPr>
            <w:webHidden/>
          </w:rPr>
          <w:fldChar w:fldCharType="begin"/>
        </w:r>
        <w:r>
          <w:rPr>
            <w:webHidden/>
          </w:rPr>
          <w:instrText xml:space="preserve"> PAGEREF _Toc104197281 \h </w:instrText>
        </w:r>
        <w:r>
          <w:rPr>
            <w:webHidden/>
          </w:rPr>
        </w:r>
        <w:r>
          <w:rPr>
            <w:webHidden/>
          </w:rPr>
          <w:fldChar w:fldCharType="separate"/>
        </w:r>
        <w:r w:rsidR="008A0424">
          <w:rPr>
            <w:webHidden/>
          </w:rPr>
          <w:t>20</w:t>
        </w:r>
        <w:r>
          <w:rPr>
            <w:webHidden/>
          </w:rPr>
          <w:fldChar w:fldCharType="end"/>
        </w:r>
      </w:hyperlink>
    </w:p>
    <w:p w14:paraId="69B8E166" w14:textId="44821BB8" w:rsidR="00272932" w:rsidRDefault="00272932">
      <w:pPr>
        <w:pStyle w:val="TOC4"/>
        <w:rPr>
          <w:rFonts w:asciiTheme="minorHAnsi" w:eastAsiaTheme="minorEastAsia" w:hAnsiTheme="minorHAnsi" w:cstheme="minorBidi"/>
          <w:sz w:val="22"/>
          <w:szCs w:val="22"/>
          <w:lang w:eastAsia="ro-RO"/>
        </w:rPr>
      </w:pPr>
      <w:hyperlink w:anchor="_Toc104197282" w:history="1">
        <w:r w:rsidRPr="00C8725A">
          <w:rPr>
            <w:rStyle w:val="Hyperlink"/>
          </w:rPr>
          <w:t>A fost aprobată schema de ajutor de stat pentru compensarea creșterii prețului la combustibil pentru transportatori și distribuitori! 300 de milioane de lei pentru aproximativ 3.000 de beneficiari</w:t>
        </w:r>
        <w:r>
          <w:rPr>
            <w:webHidden/>
          </w:rPr>
          <w:tab/>
        </w:r>
        <w:r>
          <w:rPr>
            <w:webHidden/>
          </w:rPr>
          <w:fldChar w:fldCharType="begin"/>
        </w:r>
        <w:r>
          <w:rPr>
            <w:webHidden/>
          </w:rPr>
          <w:instrText xml:space="preserve"> PAGEREF _Toc104197282 \h </w:instrText>
        </w:r>
        <w:r>
          <w:rPr>
            <w:webHidden/>
          </w:rPr>
        </w:r>
        <w:r>
          <w:rPr>
            <w:webHidden/>
          </w:rPr>
          <w:fldChar w:fldCharType="separate"/>
        </w:r>
        <w:r w:rsidR="008A0424">
          <w:rPr>
            <w:webHidden/>
          </w:rPr>
          <w:t>20</w:t>
        </w:r>
        <w:r>
          <w:rPr>
            <w:webHidden/>
          </w:rPr>
          <w:fldChar w:fldCharType="end"/>
        </w:r>
      </w:hyperlink>
    </w:p>
    <w:p w14:paraId="74AC0714" w14:textId="77777777" w:rsidR="00272932" w:rsidRDefault="00272932">
      <w:pPr>
        <w:pStyle w:val="TOC4"/>
        <w:rPr>
          <w:rFonts w:asciiTheme="minorHAnsi" w:eastAsiaTheme="minorEastAsia" w:hAnsiTheme="minorHAnsi" w:cstheme="minorBidi"/>
          <w:sz w:val="22"/>
          <w:szCs w:val="22"/>
          <w:lang w:eastAsia="ro-RO"/>
        </w:rPr>
      </w:pPr>
      <w:hyperlink w:anchor="_Toc104197283" w:history="1">
        <w:r w:rsidRPr="00C8725A">
          <w:rPr>
            <w:rStyle w:val="Hyperlink"/>
          </w:rPr>
          <w:t>Modificări aprobate pentru POC 2014-2020: Bugetul Acțiunii 4.1.1, în valoare de 350 de milioane de euro</w:t>
        </w:r>
        <w:r>
          <w:rPr>
            <w:webHidden/>
          </w:rPr>
          <w:tab/>
        </w:r>
        <w:r>
          <w:rPr>
            <w:webHidden/>
          </w:rPr>
          <w:fldChar w:fldCharType="begin"/>
        </w:r>
        <w:r>
          <w:rPr>
            <w:webHidden/>
          </w:rPr>
          <w:instrText xml:space="preserve"> PAGEREF _Toc104197283 \h </w:instrText>
        </w:r>
        <w:r>
          <w:rPr>
            <w:webHidden/>
          </w:rPr>
        </w:r>
        <w:r>
          <w:rPr>
            <w:webHidden/>
          </w:rPr>
          <w:fldChar w:fldCharType="separate"/>
        </w:r>
        <w:r w:rsidR="008A0424">
          <w:rPr>
            <w:webHidden/>
          </w:rPr>
          <w:t>20</w:t>
        </w:r>
        <w:r>
          <w:rPr>
            <w:webHidden/>
          </w:rPr>
          <w:fldChar w:fldCharType="end"/>
        </w:r>
      </w:hyperlink>
    </w:p>
    <w:p w14:paraId="0698823B" w14:textId="77777777" w:rsidR="00272932" w:rsidRDefault="00272932">
      <w:pPr>
        <w:pStyle w:val="TOC4"/>
        <w:rPr>
          <w:rFonts w:asciiTheme="minorHAnsi" w:eastAsiaTheme="minorEastAsia" w:hAnsiTheme="minorHAnsi" w:cstheme="minorBidi"/>
          <w:sz w:val="22"/>
          <w:szCs w:val="22"/>
          <w:lang w:eastAsia="ro-RO"/>
        </w:rPr>
      </w:pPr>
      <w:hyperlink w:anchor="_Toc104197284" w:history="1">
        <w:r w:rsidRPr="00C8725A">
          <w:rPr>
            <w:rStyle w:val="Hyperlink"/>
          </w:rPr>
          <w:t>În cursul zilei de marți, 17 mai 2022, la sediul Ministerului Investițiilor și Proiectelor Europene a avut loc o reuniune a comitetului de monitorizare pentru Programul Operaţional Competitivitate (POC) 2014-2020.</w:t>
        </w:r>
        <w:r>
          <w:rPr>
            <w:webHidden/>
          </w:rPr>
          <w:tab/>
        </w:r>
        <w:r>
          <w:rPr>
            <w:webHidden/>
          </w:rPr>
          <w:fldChar w:fldCharType="begin"/>
        </w:r>
        <w:r>
          <w:rPr>
            <w:webHidden/>
          </w:rPr>
          <w:instrText xml:space="preserve"> PAGEREF _Toc104197284 \h </w:instrText>
        </w:r>
        <w:r>
          <w:rPr>
            <w:webHidden/>
          </w:rPr>
        </w:r>
        <w:r>
          <w:rPr>
            <w:webHidden/>
          </w:rPr>
          <w:fldChar w:fldCharType="separate"/>
        </w:r>
        <w:r w:rsidR="008A0424">
          <w:rPr>
            <w:webHidden/>
          </w:rPr>
          <w:t>20</w:t>
        </w:r>
        <w:r>
          <w:rPr>
            <w:webHidden/>
          </w:rPr>
          <w:fldChar w:fldCharType="end"/>
        </w:r>
      </w:hyperlink>
    </w:p>
    <w:p w14:paraId="23C8BD92" w14:textId="77777777" w:rsidR="00272932" w:rsidRDefault="00272932">
      <w:pPr>
        <w:pStyle w:val="TOC4"/>
        <w:rPr>
          <w:rFonts w:asciiTheme="minorHAnsi" w:eastAsiaTheme="minorEastAsia" w:hAnsiTheme="minorHAnsi" w:cstheme="minorBidi"/>
          <w:sz w:val="22"/>
          <w:szCs w:val="22"/>
          <w:lang w:eastAsia="ro-RO"/>
        </w:rPr>
      </w:pPr>
      <w:hyperlink w:anchor="_Toc104197285" w:history="1">
        <w:r w:rsidRPr="00C8725A">
          <w:rPr>
            <w:rStyle w:val="Hyperlink"/>
          </w:rPr>
          <w:t>ONG-urile din România mai au la dispoziție 3 zile pentru a-și depune aplicațiile în cadrul apelului „Conectare.Dezvoltare.Acces”</w:t>
        </w:r>
        <w:r>
          <w:rPr>
            <w:webHidden/>
          </w:rPr>
          <w:tab/>
        </w:r>
        <w:r>
          <w:rPr>
            <w:webHidden/>
          </w:rPr>
          <w:fldChar w:fldCharType="begin"/>
        </w:r>
        <w:r>
          <w:rPr>
            <w:webHidden/>
          </w:rPr>
          <w:instrText xml:space="preserve"> PAGEREF _Toc104197285 \h </w:instrText>
        </w:r>
        <w:r>
          <w:rPr>
            <w:webHidden/>
          </w:rPr>
        </w:r>
        <w:r>
          <w:rPr>
            <w:webHidden/>
          </w:rPr>
          <w:fldChar w:fldCharType="separate"/>
        </w:r>
        <w:r w:rsidR="008A0424">
          <w:rPr>
            <w:webHidden/>
          </w:rPr>
          <w:t>21</w:t>
        </w:r>
        <w:r>
          <w:rPr>
            <w:webHidden/>
          </w:rPr>
          <w:fldChar w:fldCharType="end"/>
        </w:r>
      </w:hyperlink>
    </w:p>
    <w:p w14:paraId="67B9A387" w14:textId="77777777" w:rsidR="00272932" w:rsidRDefault="00272932">
      <w:pPr>
        <w:pStyle w:val="TOC4"/>
        <w:rPr>
          <w:rFonts w:asciiTheme="minorHAnsi" w:eastAsiaTheme="minorEastAsia" w:hAnsiTheme="minorHAnsi" w:cstheme="minorBidi"/>
          <w:sz w:val="22"/>
          <w:szCs w:val="22"/>
          <w:lang w:eastAsia="ro-RO"/>
        </w:rPr>
      </w:pPr>
      <w:hyperlink w:anchor="_Toc104197287" w:history="1">
        <w:r w:rsidRPr="00C8725A">
          <w:rPr>
            <w:rStyle w:val="Hyperlink"/>
          </w:rPr>
          <w:t>Apelul 2 „În stare de bine”, dedicat ONG-urilor care sprijină creșterea calității vieții grupurilor vulnerabile: Finanțare de până la 250.000 de lei!</w:t>
        </w:r>
        <w:r>
          <w:rPr>
            <w:webHidden/>
          </w:rPr>
          <w:tab/>
        </w:r>
        <w:r>
          <w:rPr>
            <w:webHidden/>
          </w:rPr>
          <w:fldChar w:fldCharType="begin"/>
        </w:r>
        <w:r>
          <w:rPr>
            <w:webHidden/>
          </w:rPr>
          <w:instrText xml:space="preserve"> PAGEREF _Toc104197287 \h </w:instrText>
        </w:r>
        <w:r>
          <w:rPr>
            <w:webHidden/>
          </w:rPr>
        </w:r>
        <w:r>
          <w:rPr>
            <w:webHidden/>
          </w:rPr>
          <w:fldChar w:fldCharType="separate"/>
        </w:r>
        <w:r w:rsidR="008A0424">
          <w:rPr>
            <w:webHidden/>
          </w:rPr>
          <w:t>22</w:t>
        </w:r>
        <w:r>
          <w:rPr>
            <w:webHidden/>
          </w:rPr>
          <w:fldChar w:fldCharType="end"/>
        </w:r>
      </w:hyperlink>
    </w:p>
    <w:p w14:paraId="57C36847" w14:textId="77777777" w:rsidR="00272932" w:rsidRDefault="00272932">
      <w:pPr>
        <w:pStyle w:val="TOC4"/>
        <w:rPr>
          <w:rFonts w:asciiTheme="minorHAnsi" w:eastAsiaTheme="minorEastAsia" w:hAnsiTheme="minorHAnsi" w:cstheme="minorBidi"/>
          <w:sz w:val="22"/>
          <w:szCs w:val="22"/>
          <w:lang w:eastAsia="ro-RO"/>
        </w:rPr>
      </w:pPr>
      <w:hyperlink w:anchor="_Toc104197288" w:history="1">
        <w:r w:rsidRPr="00C8725A">
          <w:rPr>
            <w:rStyle w:val="Hyperlink"/>
          </w:rPr>
          <w:t>Aplicațiile pe apelul dedicat inițiativelor locale din cadrul Noului Bauhaus European se pot depune până la 30 mai!</w:t>
        </w:r>
        <w:r>
          <w:rPr>
            <w:webHidden/>
          </w:rPr>
          <w:tab/>
        </w:r>
        <w:r>
          <w:rPr>
            <w:webHidden/>
          </w:rPr>
          <w:fldChar w:fldCharType="begin"/>
        </w:r>
        <w:r>
          <w:rPr>
            <w:webHidden/>
          </w:rPr>
          <w:instrText xml:space="preserve"> PAGEREF _Toc104197288 \h </w:instrText>
        </w:r>
        <w:r>
          <w:rPr>
            <w:webHidden/>
          </w:rPr>
        </w:r>
        <w:r>
          <w:rPr>
            <w:webHidden/>
          </w:rPr>
          <w:fldChar w:fldCharType="separate"/>
        </w:r>
        <w:r w:rsidR="008A0424">
          <w:rPr>
            <w:webHidden/>
          </w:rPr>
          <w:t>22</w:t>
        </w:r>
        <w:r>
          <w:rPr>
            <w:webHidden/>
          </w:rPr>
          <w:fldChar w:fldCharType="end"/>
        </w:r>
      </w:hyperlink>
    </w:p>
    <w:p w14:paraId="7E845DC1" w14:textId="77777777" w:rsidR="00272932" w:rsidRDefault="00272932">
      <w:pPr>
        <w:pStyle w:val="TOC4"/>
        <w:rPr>
          <w:rFonts w:asciiTheme="minorHAnsi" w:eastAsiaTheme="minorEastAsia" w:hAnsiTheme="minorHAnsi" w:cstheme="minorBidi"/>
          <w:sz w:val="22"/>
          <w:szCs w:val="22"/>
          <w:lang w:eastAsia="ro-RO"/>
        </w:rPr>
      </w:pPr>
      <w:hyperlink w:anchor="_Toc104197289" w:history="1">
        <w:r w:rsidRPr="00C8725A">
          <w:rPr>
            <w:rStyle w:val="Hyperlink"/>
          </w:rPr>
          <w:t>A fost demarată autorizarea la plată a schemelor de sprijin cuplat în sectorul vegetal Campania 2021</w:t>
        </w:r>
        <w:r>
          <w:rPr>
            <w:webHidden/>
          </w:rPr>
          <w:tab/>
        </w:r>
        <w:r>
          <w:rPr>
            <w:webHidden/>
          </w:rPr>
          <w:fldChar w:fldCharType="begin"/>
        </w:r>
        <w:r>
          <w:rPr>
            <w:webHidden/>
          </w:rPr>
          <w:instrText xml:space="preserve"> PAGEREF _Toc104197289 \h </w:instrText>
        </w:r>
        <w:r>
          <w:rPr>
            <w:webHidden/>
          </w:rPr>
        </w:r>
        <w:r>
          <w:rPr>
            <w:webHidden/>
          </w:rPr>
          <w:fldChar w:fldCharType="separate"/>
        </w:r>
        <w:r w:rsidR="008A0424">
          <w:rPr>
            <w:webHidden/>
          </w:rPr>
          <w:t>23</w:t>
        </w:r>
        <w:r>
          <w:rPr>
            <w:webHidden/>
          </w:rPr>
          <w:fldChar w:fldCharType="end"/>
        </w:r>
      </w:hyperlink>
    </w:p>
    <w:p w14:paraId="370DBFE2" w14:textId="77777777" w:rsidR="00272932" w:rsidRDefault="00272932">
      <w:pPr>
        <w:pStyle w:val="TOC4"/>
        <w:rPr>
          <w:rFonts w:asciiTheme="minorHAnsi" w:eastAsiaTheme="minorEastAsia" w:hAnsiTheme="minorHAnsi" w:cstheme="minorBidi"/>
          <w:sz w:val="22"/>
          <w:szCs w:val="22"/>
          <w:lang w:eastAsia="ro-RO"/>
        </w:rPr>
      </w:pPr>
      <w:hyperlink w:anchor="_Toc104197290" w:history="1">
        <w:r w:rsidRPr="00C8725A">
          <w:rPr>
            <w:rStyle w:val="Hyperlink"/>
          </w:rPr>
          <w:t>Persoanele fizice și juridice se pot înscrie în cadrul programelor Rabla Clasic și Rabla Plus</w:t>
        </w:r>
        <w:r>
          <w:rPr>
            <w:webHidden/>
          </w:rPr>
          <w:tab/>
        </w:r>
        <w:r>
          <w:rPr>
            <w:webHidden/>
          </w:rPr>
          <w:fldChar w:fldCharType="begin"/>
        </w:r>
        <w:r>
          <w:rPr>
            <w:webHidden/>
          </w:rPr>
          <w:instrText xml:space="preserve"> PAGEREF _Toc104197290 \h </w:instrText>
        </w:r>
        <w:r>
          <w:rPr>
            <w:webHidden/>
          </w:rPr>
        </w:r>
        <w:r>
          <w:rPr>
            <w:webHidden/>
          </w:rPr>
          <w:fldChar w:fldCharType="separate"/>
        </w:r>
        <w:r w:rsidR="008A0424">
          <w:rPr>
            <w:webHidden/>
          </w:rPr>
          <w:t>24</w:t>
        </w:r>
        <w:r>
          <w:rPr>
            <w:webHidden/>
          </w:rPr>
          <w:fldChar w:fldCharType="end"/>
        </w:r>
      </w:hyperlink>
    </w:p>
    <w:p w14:paraId="258703DD" w14:textId="77777777" w:rsidR="00272932" w:rsidRDefault="00272932">
      <w:pPr>
        <w:pStyle w:val="TOC2"/>
        <w:rPr>
          <w:rFonts w:asciiTheme="minorHAnsi" w:eastAsiaTheme="minorEastAsia" w:hAnsiTheme="minorHAnsi" w:cstheme="minorBidi"/>
          <w:b w:val="0"/>
          <w:bCs w:val="0"/>
          <w:smallCaps w:val="0"/>
          <w:sz w:val="22"/>
          <w:szCs w:val="22"/>
          <w:lang w:eastAsia="ro-RO"/>
        </w:rPr>
      </w:pPr>
      <w:hyperlink w:anchor="_Toc104197291" w:history="1">
        <w:r w:rsidRPr="00C8725A">
          <w:rPr>
            <w:rStyle w:val="Hyperlink"/>
          </w:rPr>
          <w:t>Din actualitatea europeană</w:t>
        </w:r>
        <w:r>
          <w:rPr>
            <w:webHidden/>
          </w:rPr>
          <w:tab/>
        </w:r>
        <w:r>
          <w:rPr>
            <w:webHidden/>
          </w:rPr>
          <w:fldChar w:fldCharType="begin"/>
        </w:r>
        <w:r>
          <w:rPr>
            <w:webHidden/>
          </w:rPr>
          <w:instrText xml:space="preserve"> PAGEREF _Toc104197291 \h </w:instrText>
        </w:r>
        <w:r>
          <w:rPr>
            <w:webHidden/>
          </w:rPr>
        </w:r>
        <w:r>
          <w:rPr>
            <w:webHidden/>
          </w:rPr>
          <w:fldChar w:fldCharType="separate"/>
        </w:r>
        <w:r w:rsidR="008A0424">
          <w:rPr>
            <w:webHidden/>
          </w:rPr>
          <w:t>25</w:t>
        </w:r>
        <w:r>
          <w:rPr>
            <w:webHidden/>
          </w:rPr>
          <w:fldChar w:fldCharType="end"/>
        </w:r>
      </w:hyperlink>
    </w:p>
    <w:p w14:paraId="47AC090E" w14:textId="77777777" w:rsidR="00272932" w:rsidRDefault="00272932">
      <w:pPr>
        <w:pStyle w:val="TOC4"/>
        <w:rPr>
          <w:rFonts w:asciiTheme="minorHAnsi" w:eastAsiaTheme="minorEastAsia" w:hAnsiTheme="minorHAnsi" w:cstheme="minorBidi"/>
          <w:sz w:val="22"/>
          <w:szCs w:val="22"/>
          <w:lang w:eastAsia="ro-RO"/>
        </w:rPr>
      </w:pPr>
      <w:hyperlink w:anchor="_Toc104197292" w:history="1">
        <w:r w:rsidRPr="00C8725A">
          <w:rPr>
            <w:rStyle w:val="Hyperlink"/>
          </w:rPr>
          <w:t>Previziuni economice de primăvară ale Comisiei Europene pentru România: 2,6% creştere economică în 2022 şi 3,6% în 2023</w:t>
        </w:r>
        <w:r>
          <w:rPr>
            <w:webHidden/>
          </w:rPr>
          <w:tab/>
        </w:r>
        <w:r>
          <w:rPr>
            <w:webHidden/>
          </w:rPr>
          <w:fldChar w:fldCharType="begin"/>
        </w:r>
        <w:r>
          <w:rPr>
            <w:webHidden/>
          </w:rPr>
          <w:instrText xml:space="preserve"> PAGEREF _Toc104197292 \h </w:instrText>
        </w:r>
        <w:r>
          <w:rPr>
            <w:webHidden/>
          </w:rPr>
        </w:r>
        <w:r>
          <w:rPr>
            <w:webHidden/>
          </w:rPr>
          <w:fldChar w:fldCharType="separate"/>
        </w:r>
        <w:r w:rsidR="008A0424">
          <w:rPr>
            <w:webHidden/>
          </w:rPr>
          <w:t>25</w:t>
        </w:r>
        <w:r>
          <w:rPr>
            <w:webHidden/>
          </w:rPr>
          <w:fldChar w:fldCharType="end"/>
        </w:r>
      </w:hyperlink>
    </w:p>
    <w:p w14:paraId="2DE43AC6" w14:textId="77777777" w:rsidR="00272932" w:rsidRDefault="00272932">
      <w:pPr>
        <w:pStyle w:val="TOC4"/>
        <w:rPr>
          <w:rFonts w:asciiTheme="minorHAnsi" w:eastAsiaTheme="minorEastAsia" w:hAnsiTheme="minorHAnsi" w:cstheme="minorBidi"/>
          <w:sz w:val="22"/>
          <w:szCs w:val="22"/>
          <w:lang w:eastAsia="ro-RO"/>
        </w:rPr>
      </w:pPr>
      <w:hyperlink w:anchor="_Toc104197293" w:history="1">
        <w:r w:rsidRPr="00C8725A">
          <w:rPr>
            <w:rStyle w:val="Hyperlink"/>
          </w:rPr>
          <w:t>Consiliul UE-SUA pentru comerț și tehnologie: consolidarea parteneriatului nostru reînnoit în vremuri nesigure</w:t>
        </w:r>
        <w:r>
          <w:rPr>
            <w:webHidden/>
          </w:rPr>
          <w:tab/>
        </w:r>
        <w:r>
          <w:rPr>
            <w:webHidden/>
          </w:rPr>
          <w:fldChar w:fldCharType="begin"/>
        </w:r>
        <w:r>
          <w:rPr>
            <w:webHidden/>
          </w:rPr>
          <w:instrText xml:space="preserve"> PAGEREF _Toc104197293 \h </w:instrText>
        </w:r>
        <w:r>
          <w:rPr>
            <w:webHidden/>
          </w:rPr>
        </w:r>
        <w:r>
          <w:rPr>
            <w:webHidden/>
          </w:rPr>
          <w:fldChar w:fldCharType="separate"/>
        </w:r>
        <w:r w:rsidR="008A0424">
          <w:rPr>
            <w:webHidden/>
          </w:rPr>
          <w:t>28</w:t>
        </w:r>
        <w:r>
          <w:rPr>
            <w:webHidden/>
          </w:rPr>
          <w:fldChar w:fldCharType="end"/>
        </w:r>
      </w:hyperlink>
    </w:p>
    <w:p w14:paraId="27AF8BDB" w14:textId="77777777" w:rsidR="00272932" w:rsidRDefault="00272932">
      <w:pPr>
        <w:pStyle w:val="TOC4"/>
        <w:rPr>
          <w:rFonts w:asciiTheme="minorHAnsi" w:eastAsiaTheme="minorEastAsia" w:hAnsiTheme="minorHAnsi" w:cstheme="minorBidi"/>
          <w:sz w:val="22"/>
          <w:szCs w:val="22"/>
          <w:lang w:eastAsia="ro-RO"/>
        </w:rPr>
      </w:pPr>
      <w:hyperlink w:anchor="_Toc104197294" w:history="1">
        <w:r w:rsidRPr="00C8725A">
          <w:rPr>
            <w:rStyle w:val="Hyperlink"/>
          </w:rPr>
          <w:t>Primele state membre se angajează să aloce aproximativ 270 de milioane EUR pentru punerea în aplicare a inițiativei ALMA</w:t>
        </w:r>
        <w:r>
          <w:rPr>
            <w:webHidden/>
          </w:rPr>
          <w:tab/>
        </w:r>
        <w:r>
          <w:rPr>
            <w:webHidden/>
          </w:rPr>
          <w:fldChar w:fldCharType="begin"/>
        </w:r>
        <w:r>
          <w:rPr>
            <w:webHidden/>
          </w:rPr>
          <w:instrText xml:space="preserve"> PAGEREF _Toc104197294 \h </w:instrText>
        </w:r>
        <w:r>
          <w:rPr>
            <w:webHidden/>
          </w:rPr>
        </w:r>
        <w:r>
          <w:rPr>
            <w:webHidden/>
          </w:rPr>
          <w:fldChar w:fldCharType="separate"/>
        </w:r>
        <w:r w:rsidR="008A0424">
          <w:rPr>
            <w:webHidden/>
          </w:rPr>
          <w:t>31</w:t>
        </w:r>
        <w:r>
          <w:rPr>
            <w:webHidden/>
          </w:rPr>
          <w:fldChar w:fldCharType="end"/>
        </w:r>
      </w:hyperlink>
    </w:p>
    <w:p w14:paraId="149526CE" w14:textId="77777777" w:rsidR="00272932" w:rsidRDefault="00272932">
      <w:pPr>
        <w:pStyle w:val="TOC4"/>
        <w:rPr>
          <w:rFonts w:asciiTheme="minorHAnsi" w:eastAsiaTheme="minorEastAsia" w:hAnsiTheme="minorHAnsi" w:cstheme="minorBidi"/>
          <w:sz w:val="22"/>
          <w:szCs w:val="22"/>
          <w:lang w:eastAsia="ro-RO"/>
        </w:rPr>
      </w:pPr>
      <w:hyperlink w:anchor="_Toc104197295" w:history="1">
        <w:r w:rsidRPr="00C8725A">
          <w:rPr>
            <w:rStyle w:val="Hyperlink"/>
          </w:rPr>
          <w:t>Parteneriate pentru inovarea regională: 63 de regiuni, șapte orașe și patru state membre selectate pentru acțiunea-pilot</w:t>
        </w:r>
        <w:r>
          <w:rPr>
            <w:webHidden/>
          </w:rPr>
          <w:tab/>
        </w:r>
        <w:r>
          <w:rPr>
            <w:webHidden/>
          </w:rPr>
          <w:fldChar w:fldCharType="begin"/>
        </w:r>
        <w:r>
          <w:rPr>
            <w:webHidden/>
          </w:rPr>
          <w:instrText xml:space="preserve"> PAGEREF _Toc104197295 \h </w:instrText>
        </w:r>
        <w:r>
          <w:rPr>
            <w:webHidden/>
          </w:rPr>
        </w:r>
        <w:r>
          <w:rPr>
            <w:webHidden/>
          </w:rPr>
          <w:fldChar w:fldCharType="separate"/>
        </w:r>
        <w:r w:rsidR="008A0424">
          <w:rPr>
            <w:webHidden/>
          </w:rPr>
          <w:t>32</w:t>
        </w:r>
        <w:r>
          <w:rPr>
            <w:webHidden/>
          </w:rPr>
          <w:fldChar w:fldCharType="end"/>
        </w:r>
      </w:hyperlink>
    </w:p>
    <w:p w14:paraId="38FE62EF" w14:textId="77777777" w:rsidR="00272932" w:rsidRDefault="00272932">
      <w:pPr>
        <w:pStyle w:val="TOC4"/>
        <w:rPr>
          <w:rFonts w:asciiTheme="minorHAnsi" w:eastAsiaTheme="minorEastAsia" w:hAnsiTheme="minorHAnsi" w:cstheme="minorBidi"/>
          <w:sz w:val="22"/>
          <w:szCs w:val="22"/>
          <w:lang w:eastAsia="ro-RO"/>
        </w:rPr>
      </w:pPr>
      <w:hyperlink w:anchor="_Toc104197296" w:history="1">
        <w:r w:rsidRPr="00C8725A">
          <w:rPr>
            <w:rStyle w:val="Hyperlink"/>
          </w:rPr>
          <w:t>DiscoverEU: peste 1500 de tineri români selectați în prima rundă din 2022</w:t>
        </w:r>
        <w:r>
          <w:rPr>
            <w:webHidden/>
          </w:rPr>
          <w:tab/>
        </w:r>
        <w:r>
          <w:rPr>
            <w:webHidden/>
          </w:rPr>
          <w:fldChar w:fldCharType="begin"/>
        </w:r>
        <w:r>
          <w:rPr>
            <w:webHidden/>
          </w:rPr>
          <w:instrText xml:space="preserve"> PAGEREF _Toc104197296 \h </w:instrText>
        </w:r>
        <w:r>
          <w:rPr>
            <w:webHidden/>
          </w:rPr>
        </w:r>
        <w:r>
          <w:rPr>
            <w:webHidden/>
          </w:rPr>
          <w:fldChar w:fldCharType="separate"/>
        </w:r>
        <w:r w:rsidR="008A0424">
          <w:rPr>
            <w:webHidden/>
          </w:rPr>
          <w:t>34</w:t>
        </w:r>
        <w:r>
          <w:rPr>
            <w:webHidden/>
          </w:rPr>
          <w:fldChar w:fldCharType="end"/>
        </w:r>
      </w:hyperlink>
    </w:p>
    <w:p w14:paraId="12264A36" w14:textId="77777777" w:rsidR="00272932" w:rsidRDefault="00272932">
      <w:pPr>
        <w:pStyle w:val="TOC4"/>
        <w:rPr>
          <w:rFonts w:asciiTheme="minorHAnsi" w:eastAsiaTheme="minorEastAsia" w:hAnsiTheme="minorHAnsi" w:cstheme="minorBidi"/>
          <w:sz w:val="22"/>
          <w:szCs w:val="22"/>
          <w:lang w:eastAsia="ro-RO"/>
        </w:rPr>
      </w:pPr>
      <w:hyperlink w:anchor="_Toc104197297" w:history="1">
        <w:r w:rsidRPr="00C8725A">
          <w:rPr>
            <w:rStyle w:val="Hyperlink"/>
          </w:rPr>
          <w:t>REPowerEU: un plan prin care să ne reducem rapid dependența de combustibilii fosili din Rusia și să accelerăm tranziția verde</w:t>
        </w:r>
        <w:r>
          <w:rPr>
            <w:webHidden/>
          </w:rPr>
          <w:tab/>
        </w:r>
        <w:r>
          <w:rPr>
            <w:webHidden/>
          </w:rPr>
          <w:fldChar w:fldCharType="begin"/>
        </w:r>
        <w:r>
          <w:rPr>
            <w:webHidden/>
          </w:rPr>
          <w:instrText xml:space="preserve"> PAGEREF _Toc104197297 \h </w:instrText>
        </w:r>
        <w:r>
          <w:rPr>
            <w:webHidden/>
          </w:rPr>
        </w:r>
        <w:r>
          <w:rPr>
            <w:webHidden/>
          </w:rPr>
          <w:fldChar w:fldCharType="separate"/>
        </w:r>
        <w:r w:rsidR="008A0424">
          <w:rPr>
            <w:webHidden/>
          </w:rPr>
          <w:t>34</w:t>
        </w:r>
        <w:r>
          <w:rPr>
            <w:webHidden/>
          </w:rPr>
          <w:fldChar w:fldCharType="end"/>
        </w:r>
      </w:hyperlink>
    </w:p>
    <w:p w14:paraId="61F9B5DC" w14:textId="77777777" w:rsidR="00272932" w:rsidRDefault="00272932">
      <w:pPr>
        <w:pStyle w:val="TOC4"/>
        <w:rPr>
          <w:rFonts w:asciiTheme="minorHAnsi" w:eastAsiaTheme="minorEastAsia" w:hAnsiTheme="minorHAnsi" w:cstheme="minorBidi"/>
          <w:sz w:val="22"/>
          <w:szCs w:val="22"/>
          <w:lang w:eastAsia="ro-RO"/>
        </w:rPr>
      </w:pPr>
      <w:hyperlink w:anchor="_Toc104197298" w:history="1">
        <w:r w:rsidRPr="00C8725A">
          <w:rPr>
            <w:rStyle w:val="Hyperlink"/>
          </w:rPr>
          <w:t>Piețele energiei: Comisia prezintă măsuri de urgență pe termen scurt și opțiuni pentru îmbunătățiri pe termen lung</w:t>
        </w:r>
        <w:r>
          <w:rPr>
            <w:webHidden/>
          </w:rPr>
          <w:tab/>
        </w:r>
        <w:r>
          <w:rPr>
            <w:webHidden/>
          </w:rPr>
          <w:fldChar w:fldCharType="begin"/>
        </w:r>
        <w:r>
          <w:rPr>
            <w:webHidden/>
          </w:rPr>
          <w:instrText xml:space="preserve"> PAGEREF _Toc104197298 \h </w:instrText>
        </w:r>
        <w:r>
          <w:rPr>
            <w:webHidden/>
          </w:rPr>
        </w:r>
        <w:r>
          <w:rPr>
            <w:webHidden/>
          </w:rPr>
          <w:fldChar w:fldCharType="separate"/>
        </w:r>
        <w:r w:rsidR="008A0424">
          <w:rPr>
            <w:webHidden/>
          </w:rPr>
          <w:t>38</w:t>
        </w:r>
        <w:r>
          <w:rPr>
            <w:webHidden/>
          </w:rPr>
          <w:fldChar w:fldCharType="end"/>
        </w:r>
      </w:hyperlink>
    </w:p>
    <w:p w14:paraId="43C29442" w14:textId="77777777" w:rsidR="00272932" w:rsidRDefault="00272932">
      <w:pPr>
        <w:pStyle w:val="TOC4"/>
        <w:rPr>
          <w:rFonts w:asciiTheme="minorHAnsi" w:eastAsiaTheme="minorEastAsia" w:hAnsiTheme="minorHAnsi" w:cstheme="minorBidi"/>
          <w:sz w:val="22"/>
          <w:szCs w:val="22"/>
          <w:lang w:eastAsia="ro-RO"/>
        </w:rPr>
      </w:pPr>
      <w:hyperlink w:anchor="_Toc104197299" w:history="1">
        <w:r w:rsidRPr="00C8725A">
          <w:rPr>
            <w:rStyle w:val="Hyperlink"/>
          </w:rPr>
          <w:t>Directiva serviciilor mass-media audiovizuale: Comisia trimite România și alte 4 state membre în fața Curții de Justiție a UE</w:t>
        </w:r>
        <w:r>
          <w:rPr>
            <w:webHidden/>
          </w:rPr>
          <w:tab/>
        </w:r>
        <w:r>
          <w:rPr>
            <w:webHidden/>
          </w:rPr>
          <w:fldChar w:fldCharType="begin"/>
        </w:r>
        <w:r>
          <w:rPr>
            <w:webHidden/>
          </w:rPr>
          <w:instrText xml:space="preserve"> PAGEREF _Toc104197299 \h </w:instrText>
        </w:r>
        <w:r>
          <w:rPr>
            <w:webHidden/>
          </w:rPr>
        </w:r>
        <w:r>
          <w:rPr>
            <w:webHidden/>
          </w:rPr>
          <w:fldChar w:fldCharType="separate"/>
        </w:r>
        <w:r w:rsidR="008A0424">
          <w:rPr>
            <w:webHidden/>
          </w:rPr>
          <w:t>40</w:t>
        </w:r>
        <w:r>
          <w:rPr>
            <w:webHidden/>
          </w:rPr>
          <w:fldChar w:fldCharType="end"/>
        </w:r>
      </w:hyperlink>
    </w:p>
    <w:p w14:paraId="1ABE91EE" w14:textId="77777777" w:rsidR="00272932" w:rsidRDefault="00272932">
      <w:pPr>
        <w:pStyle w:val="TOC4"/>
        <w:rPr>
          <w:rFonts w:asciiTheme="minorHAnsi" w:eastAsiaTheme="minorEastAsia" w:hAnsiTheme="minorHAnsi" w:cstheme="minorBidi"/>
          <w:sz w:val="22"/>
          <w:szCs w:val="22"/>
          <w:lang w:eastAsia="ro-RO"/>
        </w:rPr>
      </w:pPr>
      <w:hyperlink w:anchor="_Toc104197300" w:history="1">
        <w:r w:rsidRPr="00C8725A">
          <w:rPr>
            <w:rStyle w:val="Hyperlink"/>
          </w:rPr>
          <w:t>Mandatul european de arestare: Comisia lansează proceduri de constatare a neîndeplinirii obligațiilor împotriva României și Luxemburgului pentru transpunere incorectă</w:t>
        </w:r>
        <w:r>
          <w:rPr>
            <w:webHidden/>
          </w:rPr>
          <w:tab/>
        </w:r>
        <w:r>
          <w:rPr>
            <w:webHidden/>
          </w:rPr>
          <w:fldChar w:fldCharType="begin"/>
        </w:r>
        <w:r>
          <w:rPr>
            <w:webHidden/>
          </w:rPr>
          <w:instrText xml:space="preserve"> PAGEREF _Toc104197300 \h </w:instrText>
        </w:r>
        <w:r>
          <w:rPr>
            <w:webHidden/>
          </w:rPr>
        </w:r>
        <w:r>
          <w:rPr>
            <w:webHidden/>
          </w:rPr>
          <w:fldChar w:fldCharType="separate"/>
        </w:r>
        <w:r w:rsidR="008A0424">
          <w:rPr>
            <w:webHidden/>
          </w:rPr>
          <w:t>42</w:t>
        </w:r>
        <w:r>
          <w:rPr>
            <w:webHidden/>
          </w:rPr>
          <w:fldChar w:fldCharType="end"/>
        </w:r>
      </w:hyperlink>
    </w:p>
    <w:p w14:paraId="1BF104CC" w14:textId="77777777" w:rsidR="00272932" w:rsidRDefault="00272932">
      <w:pPr>
        <w:pStyle w:val="TOC4"/>
        <w:rPr>
          <w:rFonts w:asciiTheme="minorHAnsi" w:eastAsiaTheme="minorEastAsia" w:hAnsiTheme="minorHAnsi" w:cstheme="minorBidi"/>
          <w:sz w:val="22"/>
          <w:szCs w:val="22"/>
          <w:lang w:eastAsia="ro-RO"/>
        </w:rPr>
      </w:pPr>
      <w:hyperlink w:anchor="_Toc104197301" w:history="1">
        <w:r w:rsidRPr="00C8725A">
          <w:rPr>
            <w:rStyle w:val="Hyperlink"/>
          </w:rPr>
          <w:t>Energie din surse regenerabile: Comisia îndeamnă România să transpună Directiva privind energia din surse regenerabile</w:t>
        </w:r>
        <w:r>
          <w:rPr>
            <w:webHidden/>
          </w:rPr>
          <w:tab/>
        </w:r>
        <w:r>
          <w:rPr>
            <w:webHidden/>
          </w:rPr>
          <w:fldChar w:fldCharType="begin"/>
        </w:r>
        <w:r>
          <w:rPr>
            <w:webHidden/>
          </w:rPr>
          <w:instrText xml:space="preserve"> PAGEREF _Toc104197301 \h </w:instrText>
        </w:r>
        <w:r>
          <w:rPr>
            <w:webHidden/>
          </w:rPr>
        </w:r>
        <w:r>
          <w:rPr>
            <w:webHidden/>
          </w:rPr>
          <w:fldChar w:fldCharType="separate"/>
        </w:r>
        <w:r w:rsidR="008A0424">
          <w:rPr>
            <w:webHidden/>
          </w:rPr>
          <w:t>42</w:t>
        </w:r>
        <w:r>
          <w:rPr>
            <w:webHidden/>
          </w:rPr>
          <w:fldChar w:fldCharType="end"/>
        </w:r>
      </w:hyperlink>
    </w:p>
    <w:p w14:paraId="0851B578" w14:textId="77777777" w:rsidR="00272932" w:rsidRDefault="00272932">
      <w:pPr>
        <w:pStyle w:val="TOC4"/>
        <w:rPr>
          <w:rFonts w:asciiTheme="minorHAnsi" w:eastAsiaTheme="minorEastAsia" w:hAnsiTheme="minorHAnsi" w:cstheme="minorBidi"/>
          <w:sz w:val="22"/>
          <w:szCs w:val="22"/>
          <w:lang w:eastAsia="ro-RO"/>
        </w:rPr>
      </w:pPr>
      <w:hyperlink w:anchor="_Toc104197302" w:history="1">
        <w:r w:rsidRPr="00C8725A">
          <w:rPr>
            <w:rStyle w:val="Hyperlink"/>
          </w:rPr>
          <w:t>Directiva privind datele deschise: Comisia solicită României și Sloveniei să respecte normele UE privind datele deschise și reutilizarea datelor din sectorul public</w:t>
        </w:r>
        <w:r>
          <w:rPr>
            <w:webHidden/>
          </w:rPr>
          <w:tab/>
        </w:r>
        <w:r>
          <w:rPr>
            <w:webHidden/>
          </w:rPr>
          <w:fldChar w:fldCharType="begin"/>
        </w:r>
        <w:r>
          <w:rPr>
            <w:webHidden/>
          </w:rPr>
          <w:instrText xml:space="preserve"> PAGEREF _Toc104197302 \h </w:instrText>
        </w:r>
        <w:r>
          <w:rPr>
            <w:webHidden/>
          </w:rPr>
        </w:r>
        <w:r>
          <w:rPr>
            <w:webHidden/>
          </w:rPr>
          <w:fldChar w:fldCharType="separate"/>
        </w:r>
        <w:r w:rsidR="008A0424">
          <w:rPr>
            <w:webHidden/>
          </w:rPr>
          <w:t>43</w:t>
        </w:r>
        <w:r>
          <w:rPr>
            <w:webHidden/>
          </w:rPr>
          <w:fldChar w:fldCharType="end"/>
        </w:r>
      </w:hyperlink>
    </w:p>
    <w:p w14:paraId="41AB6847" w14:textId="77777777" w:rsidR="00272932" w:rsidRDefault="00272932">
      <w:pPr>
        <w:pStyle w:val="TOC4"/>
        <w:rPr>
          <w:rFonts w:asciiTheme="minorHAnsi" w:eastAsiaTheme="minorEastAsia" w:hAnsiTheme="minorHAnsi" w:cstheme="minorBidi"/>
          <w:sz w:val="22"/>
          <w:szCs w:val="22"/>
          <w:lang w:eastAsia="ro-RO"/>
        </w:rPr>
      </w:pPr>
      <w:hyperlink w:anchor="_Toc104197303" w:history="1">
        <w:r w:rsidRPr="00C8725A">
          <w:rPr>
            <w:rStyle w:val="Hyperlink"/>
          </w:rPr>
          <w:t>Ediția din 2022 a tabloului de bord privind justiția în UE: zece ani de monitorizare a eficacității sistemelor de justiție</w:t>
        </w:r>
        <w:r>
          <w:rPr>
            <w:webHidden/>
          </w:rPr>
          <w:tab/>
        </w:r>
        <w:r>
          <w:rPr>
            <w:webHidden/>
          </w:rPr>
          <w:fldChar w:fldCharType="begin"/>
        </w:r>
        <w:r>
          <w:rPr>
            <w:webHidden/>
          </w:rPr>
          <w:instrText xml:space="preserve"> PAGEREF _Toc104197303 \h </w:instrText>
        </w:r>
        <w:r>
          <w:rPr>
            <w:webHidden/>
          </w:rPr>
        </w:r>
        <w:r>
          <w:rPr>
            <w:webHidden/>
          </w:rPr>
          <w:fldChar w:fldCharType="separate"/>
        </w:r>
        <w:r w:rsidR="008A0424">
          <w:rPr>
            <w:webHidden/>
          </w:rPr>
          <w:t>44</w:t>
        </w:r>
        <w:r>
          <w:rPr>
            <w:webHidden/>
          </w:rPr>
          <w:fldChar w:fldCharType="end"/>
        </w:r>
      </w:hyperlink>
    </w:p>
    <w:p w14:paraId="67CC41A9" w14:textId="71514154" w:rsidR="00272932" w:rsidRDefault="00272932">
      <w:pPr>
        <w:pStyle w:val="TOC2"/>
        <w:rPr>
          <w:rFonts w:asciiTheme="minorHAnsi" w:eastAsiaTheme="minorEastAsia" w:hAnsiTheme="minorHAnsi" w:cstheme="minorBidi"/>
          <w:b w:val="0"/>
          <w:bCs w:val="0"/>
          <w:smallCaps w:val="0"/>
          <w:sz w:val="22"/>
          <w:szCs w:val="22"/>
          <w:lang w:eastAsia="ro-RO"/>
        </w:rPr>
      </w:pPr>
      <w:hyperlink w:anchor="_Toc104197304" w:history="1">
        <w:r w:rsidRPr="00C8725A">
          <w:rPr>
            <w:rStyle w:val="Hyperlink"/>
          </w:rPr>
          <w:t>Ucraina</w:t>
        </w:r>
        <w:r>
          <w:rPr>
            <w:webHidden/>
          </w:rPr>
          <w:tab/>
        </w:r>
        <w:r>
          <w:rPr>
            <w:webHidden/>
          </w:rPr>
          <w:fldChar w:fldCharType="begin"/>
        </w:r>
        <w:r>
          <w:rPr>
            <w:webHidden/>
          </w:rPr>
          <w:instrText xml:space="preserve"> PAGEREF _Toc104197304 \h </w:instrText>
        </w:r>
        <w:r>
          <w:rPr>
            <w:webHidden/>
          </w:rPr>
        </w:r>
        <w:r>
          <w:rPr>
            <w:webHidden/>
          </w:rPr>
          <w:fldChar w:fldCharType="separate"/>
        </w:r>
        <w:r w:rsidR="008A0424">
          <w:rPr>
            <w:webHidden/>
          </w:rPr>
          <w:t>47</w:t>
        </w:r>
        <w:r>
          <w:rPr>
            <w:webHidden/>
          </w:rPr>
          <w:fldChar w:fldCharType="end"/>
        </w:r>
      </w:hyperlink>
    </w:p>
    <w:p w14:paraId="21FFD061" w14:textId="77777777" w:rsidR="00272932" w:rsidRDefault="00272932">
      <w:pPr>
        <w:pStyle w:val="TOC4"/>
        <w:rPr>
          <w:rFonts w:asciiTheme="minorHAnsi" w:eastAsiaTheme="minorEastAsia" w:hAnsiTheme="minorHAnsi" w:cstheme="minorBidi"/>
          <w:sz w:val="22"/>
          <w:szCs w:val="22"/>
          <w:lang w:eastAsia="ro-RO"/>
        </w:rPr>
      </w:pPr>
      <w:hyperlink w:anchor="_Toc104197305" w:history="1">
        <w:r w:rsidRPr="00C8725A">
          <w:rPr>
            <w:rStyle w:val="Hyperlink"/>
          </w:rPr>
          <w:t>Instrumentul de sprijin tehnic al Comisiei menit să ajute România și alte opt state membre să primească &amp; să sprijine persoanele care fug din calea războiului din Ucraina</w:t>
        </w:r>
        <w:r>
          <w:rPr>
            <w:webHidden/>
          </w:rPr>
          <w:tab/>
        </w:r>
        <w:r>
          <w:rPr>
            <w:webHidden/>
          </w:rPr>
          <w:fldChar w:fldCharType="begin"/>
        </w:r>
        <w:r>
          <w:rPr>
            <w:webHidden/>
          </w:rPr>
          <w:instrText xml:space="preserve"> PAGEREF _Toc104197305 \h </w:instrText>
        </w:r>
        <w:r>
          <w:rPr>
            <w:webHidden/>
          </w:rPr>
        </w:r>
        <w:r>
          <w:rPr>
            <w:webHidden/>
          </w:rPr>
          <w:fldChar w:fldCharType="separate"/>
        </w:r>
        <w:r w:rsidR="008A0424">
          <w:rPr>
            <w:webHidden/>
          </w:rPr>
          <w:t>47</w:t>
        </w:r>
        <w:r>
          <w:rPr>
            <w:webHidden/>
          </w:rPr>
          <w:fldChar w:fldCharType="end"/>
        </w:r>
      </w:hyperlink>
    </w:p>
    <w:p w14:paraId="6DE9E6DD" w14:textId="52EB1B32" w:rsidR="00272932" w:rsidRDefault="00272932">
      <w:pPr>
        <w:pStyle w:val="TOC4"/>
        <w:rPr>
          <w:rFonts w:asciiTheme="minorHAnsi" w:eastAsiaTheme="minorEastAsia" w:hAnsiTheme="minorHAnsi" w:cstheme="minorBidi"/>
          <w:sz w:val="22"/>
          <w:szCs w:val="22"/>
          <w:lang w:eastAsia="ro-RO"/>
        </w:rPr>
      </w:pPr>
      <w:hyperlink w:anchor="_Toc104197306" w:history="1">
        <w:r w:rsidRPr="00C8725A">
          <w:rPr>
            <w:rStyle w:val="Hyperlink"/>
          </w:rPr>
          <w:t>Ucraina: Comisia prezintă planuri pentru un răspuns imediat al Uniunii care să abordeze nevoile de finanțare ale Ucrainei și reconstrucția sa pe termen mai lung</w:t>
        </w:r>
        <w:r>
          <w:rPr>
            <w:webHidden/>
          </w:rPr>
          <w:tab/>
        </w:r>
        <w:r>
          <w:rPr>
            <w:webHidden/>
          </w:rPr>
          <w:fldChar w:fldCharType="begin"/>
        </w:r>
        <w:r>
          <w:rPr>
            <w:webHidden/>
          </w:rPr>
          <w:instrText xml:space="preserve"> PAGEREF _Toc104197306 \h </w:instrText>
        </w:r>
        <w:r>
          <w:rPr>
            <w:webHidden/>
          </w:rPr>
        </w:r>
        <w:r>
          <w:rPr>
            <w:webHidden/>
          </w:rPr>
          <w:fldChar w:fldCharType="separate"/>
        </w:r>
        <w:r w:rsidR="008A0424">
          <w:rPr>
            <w:webHidden/>
          </w:rPr>
          <w:t>47</w:t>
        </w:r>
        <w:r>
          <w:rPr>
            <w:webHidden/>
          </w:rPr>
          <w:fldChar w:fldCharType="end"/>
        </w:r>
      </w:hyperlink>
    </w:p>
    <w:p w14:paraId="414A8D05" w14:textId="77777777" w:rsidR="00272932" w:rsidRDefault="00272932">
      <w:pPr>
        <w:pStyle w:val="TOC4"/>
        <w:rPr>
          <w:rFonts w:asciiTheme="minorHAnsi" w:eastAsiaTheme="minorEastAsia" w:hAnsiTheme="minorHAnsi" w:cstheme="minorBidi"/>
          <w:sz w:val="22"/>
          <w:szCs w:val="22"/>
          <w:lang w:eastAsia="ro-RO"/>
        </w:rPr>
      </w:pPr>
      <w:hyperlink w:anchor="_Toc104197307" w:history="1">
        <w:r w:rsidRPr="00C8725A">
          <w:rPr>
            <w:rStyle w:val="Hyperlink"/>
          </w:rPr>
          <w:t>Solidaritatea cu Ucraina: Comisia va furniza 248 milioane EUR pentru a sprijini statele membre care îi primesc pe cei care fug din calea războiului</w:t>
        </w:r>
        <w:r>
          <w:rPr>
            <w:webHidden/>
          </w:rPr>
          <w:tab/>
        </w:r>
        <w:r>
          <w:rPr>
            <w:webHidden/>
          </w:rPr>
          <w:fldChar w:fldCharType="begin"/>
        </w:r>
        <w:r>
          <w:rPr>
            <w:webHidden/>
          </w:rPr>
          <w:instrText xml:space="preserve"> PAGEREF _Toc104197307 \h </w:instrText>
        </w:r>
        <w:r>
          <w:rPr>
            <w:webHidden/>
          </w:rPr>
        </w:r>
        <w:r>
          <w:rPr>
            <w:webHidden/>
          </w:rPr>
          <w:fldChar w:fldCharType="separate"/>
        </w:r>
        <w:r w:rsidR="008A0424">
          <w:rPr>
            <w:webHidden/>
          </w:rPr>
          <w:t>50</w:t>
        </w:r>
        <w:r>
          <w:rPr>
            <w:webHidden/>
          </w:rPr>
          <w:fldChar w:fldCharType="end"/>
        </w:r>
      </w:hyperlink>
    </w:p>
    <w:p w14:paraId="6410BF79" w14:textId="77777777" w:rsidR="00272932" w:rsidRDefault="00272932">
      <w:pPr>
        <w:pStyle w:val="TOC4"/>
        <w:rPr>
          <w:rFonts w:asciiTheme="minorHAnsi" w:eastAsiaTheme="minorEastAsia" w:hAnsiTheme="minorHAnsi" w:cstheme="minorBidi"/>
          <w:sz w:val="22"/>
          <w:szCs w:val="22"/>
          <w:lang w:eastAsia="ro-RO"/>
        </w:rPr>
      </w:pPr>
      <w:hyperlink w:anchor="_Toc104197308" w:history="1">
        <w:r w:rsidRPr="00C8725A">
          <w:rPr>
            <w:rStyle w:val="Hyperlink"/>
          </w:rPr>
          <w:t>UE furnizează Ucrainei asistență macrofinanciară în valoare de 600 milioane EUR</w:t>
        </w:r>
        <w:r>
          <w:rPr>
            <w:webHidden/>
          </w:rPr>
          <w:tab/>
        </w:r>
        <w:r>
          <w:rPr>
            <w:webHidden/>
          </w:rPr>
          <w:fldChar w:fldCharType="begin"/>
        </w:r>
        <w:r>
          <w:rPr>
            <w:webHidden/>
          </w:rPr>
          <w:instrText xml:space="preserve"> PAGEREF _Toc104197308 \h </w:instrText>
        </w:r>
        <w:r>
          <w:rPr>
            <w:webHidden/>
          </w:rPr>
        </w:r>
        <w:r>
          <w:rPr>
            <w:webHidden/>
          </w:rPr>
          <w:fldChar w:fldCharType="separate"/>
        </w:r>
        <w:r w:rsidR="008A0424">
          <w:rPr>
            <w:webHidden/>
          </w:rPr>
          <w:t>51</w:t>
        </w:r>
        <w:r>
          <w:rPr>
            <w:webHidden/>
          </w:rPr>
          <w:fldChar w:fldCharType="end"/>
        </w:r>
      </w:hyperlink>
    </w:p>
    <w:p w14:paraId="2C1483C0" w14:textId="0889C8D5" w:rsidR="00D92761" w:rsidRDefault="00D55F50" w:rsidP="00D85DDD">
      <w:pPr>
        <w:pStyle w:val="TOC4"/>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00276F5C" w14:textId="04FB370E" w:rsidR="00D92761" w:rsidRDefault="00D92761">
      <w:pPr>
        <w:spacing w:before="0"/>
      </w:pPr>
      <w:r>
        <w:br w:type="page"/>
      </w:r>
    </w:p>
    <w:p w14:paraId="4FA8C69A" w14:textId="68FBA3A3" w:rsidR="006538AC" w:rsidRDefault="003075AF" w:rsidP="00B2000B">
      <w:pPr>
        <w:pStyle w:val="AgendaPrefect"/>
        <w:spacing w:before="0" w:after="0"/>
        <w:ind w:right="198"/>
        <w:rPr>
          <w:rFonts w:ascii="Book Antiqua" w:hAnsi="Book Antiqua"/>
          <w:color w:val="auto"/>
          <w:spacing w:val="-6"/>
          <w:sz w:val="20"/>
        </w:rPr>
      </w:pPr>
      <w:bookmarkStart w:id="10" w:name="_Toc104197250"/>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0C4561">
        <w:rPr>
          <w:rFonts w:ascii="Book Antiqua" w:hAnsi="Book Antiqua"/>
          <w:color w:val="auto"/>
          <w:spacing w:val="-6"/>
          <w:sz w:val="20"/>
        </w:rPr>
        <w:t>16  -  22</w:t>
      </w:r>
      <w:r w:rsidR="00A776D6" w:rsidRPr="00A776D6">
        <w:rPr>
          <w:rFonts w:ascii="Book Antiqua" w:hAnsi="Book Antiqua"/>
          <w:color w:val="auto"/>
          <w:spacing w:val="-6"/>
          <w:sz w:val="20"/>
        </w:rPr>
        <w:t xml:space="preserve"> mai</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10"/>
    </w:p>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424A1F">
        <w:trPr>
          <w:trHeight w:val="577"/>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E9026F" w:rsidRPr="00621B33" w14:paraId="1A3A2CC1" w14:textId="77777777" w:rsidTr="005C00F7">
        <w:trPr>
          <w:trHeight w:val="615"/>
        </w:trPr>
        <w:tc>
          <w:tcPr>
            <w:tcW w:w="4304" w:type="pct"/>
            <w:tcBorders>
              <w:top w:val="dotted" w:sz="4" w:space="0" w:color="A6A6A6"/>
              <w:left w:val="nil"/>
              <w:bottom w:val="dotted" w:sz="4" w:space="0" w:color="A6A6A6"/>
              <w:right w:val="double" w:sz="4" w:space="0" w:color="006600"/>
            </w:tcBorders>
            <w:shd w:val="clear" w:color="auto" w:fill="auto"/>
          </w:tcPr>
          <w:p w14:paraId="2770980C" w14:textId="78CCD76D" w:rsidR="00E9026F" w:rsidRPr="0041223A" w:rsidRDefault="00C61121" w:rsidP="00E9026F">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585D49C" w14:textId="1C814F4F" w:rsidR="00E9026F" w:rsidRPr="00621B33" w:rsidRDefault="000C4561"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16 mai</w:t>
            </w:r>
          </w:p>
        </w:tc>
      </w:tr>
      <w:tr w:rsidR="00C61121" w:rsidRPr="00621B33" w14:paraId="248E179B" w14:textId="77777777" w:rsidTr="00272932">
        <w:trPr>
          <w:trHeight w:val="692"/>
        </w:trPr>
        <w:tc>
          <w:tcPr>
            <w:tcW w:w="4304" w:type="pct"/>
            <w:tcBorders>
              <w:top w:val="dotted" w:sz="4" w:space="0" w:color="A6A6A6"/>
              <w:left w:val="nil"/>
              <w:bottom w:val="dotted" w:sz="4" w:space="0" w:color="A6A6A6"/>
              <w:right w:val="double" w:sz="4" w:space="0" w:color="006600"/>
            </w:tcBorders>
            <w:shd w:val="clear" w:color="auto" w:fill="auto"/>
          </w:tcPr>
          <w:p w14:paraId="76798C1A" w14:textId="4119F980" w:rsidR="00C61121" w:rsidRPr="0041223A" w:rsidRDefault="00C61121" w:rsidP="00C61121">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Întâlnire operativă cu reprezentan</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ii IPJ Hunedoara, ISU Hunedoara, IJJ Hunedoara, DSP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24804D2C" w:rsidR="00C61121" w:rsidRPr="00621B33" w:rsidRDefault="00C61121" w:rsidP="00C61121">
            <w:pPr>
              <w:ind w:right="198"/>
              <w:rPr>
                <w:rFonts w:ascii="Times New Roman" w:hAnsi="Times New Roman"/>
                <w:b/>
                <w:bCs/>
                <w:i/>
                <w:iCs/>
                <w:spacing w:val="-4"/>
                <w:sz w:val="22"/>
                <w:szCs w:val="22"/>
              </w:rPr>
            </w:pPr>
            <w:r w:rsidRPr="000E5424">
              <w:rPr>
                <w:rFonts w:ascii="Times New Roman" w:hAnsi="Times New Roman"/>
                <w:b/>
                <w:bCs/>
                <w:i/>
                <w:iCs/>
                <w:spacing w:val="-4"/>
                <w:sz w:val="22"/>
                <w:szCs w:val="22"/>
              </w:rPr>
              <w:t>16 mai</w:t>
            </w:r>
          </w:p>
        </w:tc>
      </w:tr>
      <w:tr w:rsidR="00C61121" w:rsidRPr="00621B33" w14:paraId="12746DE6" w14:textId="77777777" w:rsidTr="00C61121">
        <w:trPr>
          <w:trHeight w:val="426"/>
        </w:trPr>
        <w:tc>
          <w:tcPr>
            <w:tcW w:w="4304" w:type="pct"/>
            <w:tcBorders>
              <w:top w:val="dotted" w:sz="4" w:space="0" w:color="A6A6A6"/>
              <w:left w:val="nil"/>
              <w:bottom w:val="dotted" w:sz="4" w:space="0" w:color="A6A6A6"/>
              <w:right w:val="double" w:sz="4" w:space="0" w:color="006600"/>
            </w:tcBorders>
            <w:shd w:val="clear" w:color="auto" w:fill="auto"/>
          </w:tcPr>
          <w:p w14:paraId="2ABC9802" w14:textId="1BF7C869" w:rsidR="00C61121" w:rsidRPr="0041223A" w:rsidRDefault="00C61121" w:rsidP="00C61121">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Participare la emisiunea postului de televiziune „UNU TV”.</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691D4535" w:rsidR="00C61121" w:rsidRPr="00621B33" w:rsidRDefault="00C61121" w:rsidP="00C61121">
            <w:pPr>
              <w:ind w:right="198"/>
              <w:rPr>
                <w:rFonts w:ascii="Times New Roman" w:hAnsi="Times New Roman"/>
                <w:b/>
                <w:bCs/>
                <w:i/>
                <w:iCs/>
                <w:spacing w:val="-4"/>
                <w:sz w:val="22"/>
                <w:szCs w:val="22"/>
              </w:rPr>
            </w:pPr>
            <w:r w:rsidRPr="000E5424">
              <w:rPr>
                <w:rFonts w:ascii="Times New Roman" w:hAnsi="Times New Roman"/>
                <w:b/>
                <w:bCs/>
                <w:i/>
                <w:iCs/>
                <w:spacing w:val="-4"/>
                <w:sz w:val="22"/>
                <w:szCs w:val="22"/>
              </w:rPr>
              <w:t>16 mai</w:t>
            </w:r>
          </w:p>
        </w:tc>
      </w:tr>
      <w:tr w:rsidR="00C61121" w:rsidRPr="00621B33" w14:paraId="65685C04" w14:textId="77777777" w:rsidTr="00C61121">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4A1661D8" w:rsidR="00C61121" w:rsidRPr="007D0B8B" w:rsidRDefault="00C61121" w:rsidP="00C61121">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Vizită de lucru la Centrul Jude</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 xml:space="preserve">ean APIA Hunedoara. </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22F4F33F" w:rsidR="00C61121" w:rsidRPr="00E32161" w:rsidRDefault="00C61121" w:rsidP="00C61121">
            <w:pPr>
              <w:ind w:right="198"/>
              <w:rPr>
                <w:rFonts w:ascii="Times New Roman" w:hAnsi="Times New Roman"/>
                <w:b/>
                <w:bCs/>
                <w:i/>
                <w:iCs/>
                <w:spacing w:val="-4"/>
                <w:sz w:val="22"/>
                <w:szCs w:val="22"/>
              </w:rPr>
            </w:pPr>
            <w:r w:rsidRPr="000E5424">
              <w:rPr>
                <w:rFonts w:ascii="Times New Roman" w:hAnsi="Times New Roman"/>
                <w:b/>
                <w:bCs/>
                <w:i/>
                <w:iCs/>
                <w:spacing w:val="-4"/>
                <w:sz w:val="22"/>
                <w:szCs w:val="22"/>
              </w:rPr>
              <w:t>16 mai</w:t>
            </w:r>
          </w:p>
        </w:tc>
      </w:tr>
      <w:tr w:rsidR="00C61121" w:rsidRPr="00621B33" w14:paraId="6B4FDBB5" w14:textId="77777777" w:rsidTr="00A9160E">
        <w:trPr>
          <w:trHeight w:val="518"/>
        </w:trPr>
        <w:tc>
          <w:tcPr>
            <w:tcW w:w="4304" w:type="pct"/>
            <w:tcBorders>
              <w:top w:val="dotted" w:sz="4" w:space="0" w:color="A6A6A6"/>
              <w:left w:val="nil"/>
              <w:bottom w:val="dotted" w:sz="4" w:space="0" w:color="A6A6A6"/>
              <w:right w:val="double" w:sz="4" w:space="0" w:color="006600"/>
            </w:tcBorders>
            <w:shd w:val="clear" w:color="auto" w:fill="auto"/>
          </w:tcPr>
          <w:p w14:paraId="10955634" w14:textId="2270ED95" w:rsidR="00C61121" w:rsidRPr="0041223A" w:rsidRDefault="00C61121" w:rsidP="00C61121">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 xml:space="preserve">Participare la </w:t>
            </w:r>
            <w:r w:rsidRPr="00597E33">
              <w:rPr>
                <w:rFonts w:ascii="Cambria" w:hAnsi="Cambria" w:cs="Cambria"/>
                <w:i/>
                <w:iCs/>
                <w:color w:val="000000" w:themeColor="text1"/>
                <w:sz w:val="22"/>
                <w:szCs w:val="22"/>
              </w:rPr>
              <w:t>ș</w:t>
            </w:r>
            <w:r w:rsidRPr="00597E33">
              <w:rPr>
                <w:rFonts w:ascii="Book Antiqua" w:hAnsi="Book Antiqua" w:cstheme="minorHAnsi"/>
                <w:i/>
                <w:iCs/>
                <w:color w:val="000000" w:themeColor="text1"/>
                <w:sz w:val="22"/>
                <w:szCs w:val="22"/>
              </w:rPr>
              <w:t>edin</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a Comisiei Jude</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ene  pentru Recensământul Popula</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 xml:space="preserve">iei </w:t>
            </w:r>
            <w:r w:rsidRPr="00597E33">
              <w:rPr>
                <w:rFonts w:ascii="Cambria" w:hAnsi="Cambria" w:cs="Cambria"/>
                <w:i/>
                <w:iCs/>
                <w:color w:val="000000" w:themeColor="text1"/>
                <w:sz w:val="22"/>
                <w:szCs w:val="22"/>
              </w:rPr>
              <w:t>ș</w:t>
            </w:r>
            <w:r w:rsidRPr="00597E33">
              <w:rPr>
                <w:rFonts w:ascii="Book Antiqua" w:hAnsi="Book Antiqua" w:cstheme="minorHAnsi"/>
                <w:i/>
                <w:iCs/>
                <w:color w:val="000000" w:themeColor="text1"/>
                <w:sz w:val="22"/>
                <w:szCs w:val="22"/>
              </w:rPr>
              <w:t>i Locuin</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elor Hunedoara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4C18B7CC" w14:textId="11404AC3" w:rsidR="00C61121" w:rsidRPr="00621B33" w:rsidRDefault="00C61121" w:rsidP="00C61121">
            <w:pPr>
              <w:ind w:right="198"/>
              <w:rPr>
                <w:rFonts w:ascii="Times New Roman" w:hAnsi="Times New Roman"/>
                <w:b/>
                <w:bCs/>
                <w:i/>
                <w:iCs/>
                <w:spacing w:val="-4"/>
                <w:sz w:val="22"/>
                <w:szCs w:val="22"/>
              </w:rPr>
            </w:pPr>
            <w:r>
              <w:rPr>
                <w:rFonts w:ascii="Times New Roman" w:hAnsi="Times New Roman"/>
                <w:b/>
                <w:bCs/>
                <w:i/>
                <w:iCs/>
                <w:spacing w:val="-4"/>
                <w:sz w:val="22"/>
                <w:szCs w:val="22"/>
              </w:rPr>
              <w:t>17 mai</w:t>
            </w:r>
          </w:p>
        </w:tc>
      </w:tr>
      <w:tr w:rsidR="00C61121" w:rsidRPr="00621B33" w14:paraId="2FB5C0D6" w14:textId="77777777" w:rsidTr="00C61121">
        <w:trPr>
          <w:trHeight w:val="660"/>
        </w:trPr>
        <w:tc>
          <w:tcPr>
            <w:tcW w:w="4304" w:type="pct"/>
            <w:tcBorders>
              <w:top w:val="dotted" w:sz="4" w:space="0" w:color="A6A6A6"/>
              <w:left w:val="nil"/>
              <w:bottom w:val="dotted" w:sz="4" w:space="0" w:color="A6A6A6"/>
              <w:right w:val="double" w:sz="4" w:space="0" w:color="006600"/>
            </w:tcBorders>
            <w:shd w:val="clear" w:color="auto" w:fill="auto"/>
          </w:tcPr>
          <w:p w14:paraId="244635F5" w14:textId="7B093DFF" w:rsidR="00C61121" w:rsidRPr="00304F33" w:rsidRDefault="00C61121" w:rsidP="00C61121">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Participare la întâlnirea cu pre</w:t>
            </w:r>
            <w:r w:rsidRPr="00597E33">
              <w:rPr>
                <w:rFonts w:ascii="Cambria" w:hAnsi="Cambria" w:cs="Cambria"/>
                <w:i/>
                <w:iCs/>
                <w:color w:val="000000" w:themeColor="text1"/>
                <w:sz w:val="22"/>
                <w:szCs w:val="22"/>
              </w:rPr>
              <w:t>ș</w:t>
            </w:r>
            <w:r w:rsidRPr="00597E33">
              <w:rPr>
                <w:rFonts w:ascii="Book Antiqua" w:hAnsi="Book Antiqua" w:cstheme="minorHAnsi"/>
                <w:i/>
                <w:iCs/>
                <w:color w:val="000000" w:themeColor="text1"/>
                <w:sz w:val="22"/>
                <w:szCs w:val="22"/>
              </w:rPr>
              <w:t>edintele Sindicatului Învă</w:t>
            </w:r>
            <w:r w:rsidRPr="00597E33">
              <w:rPr>
                <w:rFonts w:ascii="Cambria" w:hAnsi="Cambria" w:cs="Cambria"/>
                <w:i/>
                <w:iCs/>
                <w:color w:val="000000" w:themeColor="text1"/>
                <w:sz w:val="22"/>
                <w:szCs w:val="22"/>
              </w:rPr>
              <w:t>ț</w:t>
            </w:r>
            <w:r w:rsidRPr="00597E33">
              <w:rPr>
                <w:rFonts w:ascii="Book Antiqua" w:hAnsi="Book Antiqua" w:cs="Book Antiqua"/>
                <w:i/>
                <w:iCs/>
                <w:color w:val="000000" w:themeColor="text1"/>
                <w:sz w:val="22"/>
                <w:szCs w:val="22"/>
              </w:rPr>
              <w:t>ă</w:t>
            </w:r>
            <w:r w:rsidRPr="00597E33">
              <w:rPr>
                <w:rFonts w:ascii="Book Antiqua" w:hAnsi="Book Antiqua" w:cstheme="minorHAnsi"/>
                <w:i/>
                <w:iCs/>
                <w:color w:val="000000" w:themeColor="text1"/>
                <w:sz w:val="22"/>
                <w:szCs w:val="22"/>
              </w:rPr>
              <w:t>mântului Preuniversitar - Jude</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 xml:space="preserve">ul Hunedoara </w:t>
            </w:r>
            <w:r w:rsidRPr="00597E33">
              <w:rPr>
                <w:rFonts w:ascii="Cambria" w:hAnsi="Cambria" w:cs="Cambria"/>
                <w:i/>
                <w:iCs/>
                <w:color w:val="000000" w:themeColor="text1"/>
                <w:sz w:val="22"/>
                <w:szCs w:val="22"/>
              </w:rPr>
              <w:t>ș</w:t>
            </w:r>
            <w:r w:rsidRPr="00597E33">
              <w:rPr>
                <w:rFonts w:ascii="Book Antiqua" w:hAnsi="Book Antiqua" w:cstheme="minorHAnsi"/>
                <w:i/>
                <w:iCs/>
                <w:color w:val="000000" w:themeColor="text1"/>
                <w:sz w:val="22"/>
                <w:szCs w:val="22"/>
              </w:rPr>
              <w:t xml:space="preserve">i membrii Inspectoratului </w:t>
            </w:r>
            <w:r w:rsidRPr="00597E33">
              <w:rPr>
                <w:rFonts w:ascii="Cambria" w:hAnsi="Cambria" w:cs="Cambria"/>
                <w:i/>
                <w:iCs/>
                <w:color w:val="000000" w:themeColor="text1"/>
                <w:sz w:val="22"/>
                <w:szCs w:val="22"/>
              </w:rPr>
              <w:t>Ș</w:t>
            </w:r>
            <w:r w:rsidRPr="00597E33">
              <w:rPr>
                <w:rFonts w:ascii="Book Antiqua" w:hAnsi="Book Antiqua" w:cstheme="minorHAnsi"/>
                <w:i/>
                <w:iCs/>
                <w:color w:val="000000" w:themeColor="text1"/>
                <w:sz w:val="22"/>
                <w:szCs w:val="22"/>
              </w:rPr>
              <w:t>colar Jude</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ean Hunedoara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3490BD2A" w14:textId="395FAC6A" w:rsidR="00C61121" w:rsidRPr="00621B33" w:rsidRDefault="00C61121" w:rsidP="00C61121">
            <w:pPr>
              <w:ind w:right="198"/>
              <w:rPr>
                <w:rFonts w:ascii="Times New Roman" w:hAnsi="Times New Roman"/>
                <w:b/>
                <w:bCs/>
                <w:i/>
                <w:iCs/>
                <w:spacing w:val="-4"/>
                <w:sz w:val="22"/>
                <w:szCs w:val="22"/>
              </w:rPr>
            </w:pPr>
            <w:r>
              <w:rPr>
                <w:rFonts w:ascii="Times New Roman" w:hAnsi="Times New Roman"/>
                <w:b/>
                <w:bCs/>
                <w:i/>
                <w:iCs/>
                <w:spacing w:val="-4"/>
                <w:sz w:val="22"/>
                <w:szCs w:val="22"/>
              </w:rPr>
              <w:t>17 mai</w:t>
            </w:r>
          </w:p>
        </w:tc>
      </w:tr>
      <w:tr w:rsidR="00C61121" w:rsidRPr="00621B33" w14:paraId="1569D802" w14:textId="77777777" w:rsidTr="004E0008">
        <w:trPr>
          <w:trHeight w:val="476"/>
        </w:trPr>
        <w:tc>
          <w:tcPr>
            <w:tcW w:w="4304" w:type="pct"/>
            <w:tcBorders>
              <w:top w:val="dotted" w:sz="4" w:space="0" w:color="A6A6A6"/>
              <w:left w:val="nil"/>
              <w:bottom w:val="dotted" w:sz="4" w:space="0" w:color="A6A6A6"/>
              <w:right w:val="double" w:sz="4" w:space="0" w:color="006600"/>
            </w:tcBorders>
            <w:shd w:val="clear" w:color="auto" w:fill="auto"/>
          </w:tcPr>
          <w:p w14:paraId="3D9D7046" w14:textId="54893EA8" w:rsidR="00C61121" w:rsidRPr="005C00F7" w:rsidRDefault="00C61121" w:rsidP="00C61121">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Deplasare la Consulatul General al Ungariei din Cluj Napoca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5BE904CB" w14:textId="26662E88" w:rsidR="00C61121" w:rsidRDefault="00C61121" w:rsidP="00C61121">
            <w:pPr>
              <w:ind w:right="198"/>
              <w:rPr>
                <w:rFonts w:ascii="Times New Roman" w:hAnsi="Times New Roman"/>
                <w:b/>
                <w:bCs/>
                <w:i/>
                <w:iCs/>
                <w:spacing w:val="-4"/>
                <w:sz w:val="22"/>
                <w:szCs w:val="22"/>
              </w:rPr>
            </w:pPr>
            <w:r>
              <w:rPr>
                <w:rFonts w:ascii="Times New Roman" w:hAnsi="Times New Roman"/>
                <w:b/>
                <w:bCs/>
                <w:i/>
                <w:iCs/>
                <w:spacing w:val="-4"/>
                <w:sz w:val="22"/>
                <w:szCs w:val="22"/>
              </w:rPr>
              <w:t xml:space="preserve">18 mai </w:t>
            </w:r>
          </w:p>
        </w:tc>
      </w:tr>
      <w:tr w:rsidR="00E9026F" w:rsidRPr="00621B33" w14:paraId="1A519FC2" w14:textId="77777777" w:rsidTr="00C61121">
        <w:trPr>
          <w:trHeight w:val="634"/>
        </w:trPr>
        <w:tc>
          <w:tcPr>
            <w:tcW w:w="4304" w:type="pct"/>
            <w:tcBorders>
              <w:top w:val="dotted" w:sz="4" w:space="0" w:color="A6A6A6"/>
              <w:left w:val="nil"/>
              <w:bottom w:val="dotted" w:sz="4" w:space="0" w:color="A6A6A6"/>
              <w:right w:val="double" w:sz="4" w:space="0" w:color="006600"/>
            </w:tcBorders>
            <w:shd w:val="clear" w:color="auto" w:fill="auto"/>
          </w:tcPr>
          <w:p w14:paraId="196C90FF" w14:textId="26556780" w:rsidR="00E9026F" w:rsidRPr="00BB3FA9" w:rsidRDefault="00C61121" w:rsidP="00E9026F">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Participare la evaluarea activită</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ii din cadrul Geoparcului Interna</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 xml:space="preserve">ional UNESCO </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ara Ha</w:t>
            </w:r>
            <w:r w:rsidRPr="00597E33">
              <w:rPr>
                <w:rFonts w:ascii="Cambria" w:hAnsi="Cambria" w:cs="Cambria"/>
                <w:i/>
                <w:iCs/>
                <w:color w:val="000000" w:themeColor="text1"/>
                <w:sz w:val="22"/>
                <w:szCs w:val="22"/>
              </w:rPr>
              <w:t>ț</w:t>
            </w:r>
            <w:r w:rsidRPr="00597E33">
              <w:rPr>
                <w:rFonts w:ascii="Book Antiqua" w:hAnsi="Book Antiqua" w:cstheme="minorHAnsi"/>
                <w:i/>
                <w:iCs/>
                <w:color w:val="000000" w:themeColor="text1"/>
                <w:sz w:val="22"/>
                <w:szCs w:val="22"/>
              </w:rPr>
              <w:t>egului</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75034A98" w14:textId="3913F0F2" w:rsidR="00E9026F" w:rsidRPr="00621B33" w:rsidRDefault="00C61121"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18 mai</w:t>
            </w:r>
          </w:p>
        </w:tc>
      </w:tr>
      <w:tr w:rsidR="00C61121" w:rsidRPr="00621B33" w14:paraId="289E568A" w14:textId="77777777" w:rsidTr="00C61121">
        <w:trPr>
          <w:trHeight w:val="600"/>
        </w:trPr>
        <w:tc>
          <w:tcPr>
            <w:tcW w:w="4304" w:type="pct"/>
            <w:tcBorders>
              <w:top w:val="dotted" w:sz="4" w:space="0" w:color="A6A6A6"/>
              <w:left w:val="nil"/>
              <w:bottom w:val="dotted" w:sz="4" w:space="0" w:color="A6A6A6"/>
              <w:right w:val="double" w:sz="4" w:space="0" w:color="006600"/>
            </w:tcBorders>
            <w:shd w:val="clear" w:color="auto" w:fill="auto"/>
          </w:tcPr>
          <w:p w14:paraId="3A46B4E2" w14:textId="0499C10C" w:rsidR="00C61121" w:rsidRPr="00BB3FA9" w:rsidRDefault="00C61121" w:rsidP="00E9026F">
            <w:pPr>
              <w:spacing w:before="40"/>
              <w:ind w:right="198"/>
              <w:rPr>
                <w:rFonts w:ascii="Book Antiqua" w:hAnsi="Book Antiqua" w:cstheme="minorHAnsi"/>
                <w:i/>
                <w:iCs/>
                <w:color w:val="000000" w:themeColor="text1"/>
                <w:sz w:val="22"/>
                <w:szCs w:val="22"/>
              </w:rPr>
            </w:pPr>
            <w:r w:rsidRPr="00597E33">
              <w:rPr>
                <w:rFonts w:ascii="Book Antiqua" w:hAnsi="Book Antiqua" w:cstheme="minorHAnsi"/>
                <w:i/>
                <w:iCs/>
                <w:color w:val="000000" w:themeColor="text1"/>
                <w:sz w:val="22"/>
                <w:szCs w:val="22"/>
              </w:rPr>
              <w:t xml:space="preserve">Participare la inaugurarea Biroului Regional al Serviciului Public Regim Permise de Conducere </w:t>
            </w:r>
            <w:r w:rsidRPr="00597E33">
              <w:rPr>
                <w:rFonts w:ascii="Cambria" w:hAnsi="Cambria" w:cs="Cambria"/>
                <w:i/>
                <w:iCs/>
                <w:color w:val="000000" w:themeColor="text1"/>
                <w:sz w:val="22"/>
                <w:szCs w:val="22"/>
              </w:rPr>
              <w:t>ș</w:t>
            </w:r>
            <w:r w:rsidRPr="00597E33">
              <w:rPr>
                <w:rFonts w:ascii="Book Antiqua" w:hAnsi="Book Antiqua" w:cstheme="minorHAnsi"/>
                <w:i/>
                <w:iCs/>
                <w:color w:val="000000" w:themeColor="text1"/>
                <w:sz w:val="22"/>
                <w:szCs w:val="22"/>
              </w:rPr>
              <w:t xml:space="preserve">i </w:t>
            </w:r>
            <w:r w:rsidRPr="00597E33">
              <w:rPr>
                <w:rFonts w:ascii="Book Antiqua" w:hAnsi="Book Antiqua" w:cs="Book Antiqua"/>
                <w:i/>
                <w:iCs/>
                <w:color w:val="000000" w:themeColor="text1"/>
                <w:sz w:val="22"/>
                <w:szCs w:val="22"/>
              </w:rPr>
              <w:t>Î</w:t>
            </w:r>
            <w:r w:rsidRPr="00597E33">
              <w:rPr>
                <w:rFonts w:ascii="Book Antiqua" w:hAnsi="Book Antiqua" w:cstheme="minorHAnsi"/>
                <w:i/>
                <w:iCs/>
                <w:color w:val="000000" w:themeColor="text1"/>
                <w:sz w:val="22"/>
                <w:szCs w:val="22"/>
              </w:rPr>
              <w:t>nmatriculare a Vehiculelor Hunedoara din municipiul Petro</w:t>
            </w:r>
            <w:r w:rsidRPr="00597E33">
              <w:rPr>
                <w:rFonts w:ascii="Cambria" w:hAnsi="Cambria" w:cs="Cambria"/>
                <w:i/>
                <w:iCs/>
                <w:color w:val="000000" w:themeColor="text1"/>
                <w:sz w:val="22"/>
                <w:szCs w:val="22"/>
              </w:rPr>
              <w:t>ș</w:t>
            </w:r>
            <w:r w:rsidRPr="00597E33">
              <w:rPr>
                <w:rFonts w:ascii="Book Antiqua" w:hAnsi="Book Antiqua" w:cstheme="minorHAnsi"/>
                <w:i/>
                <w:iCs/>
                <w:color w:val="000000" w:themeColor="text1"/>
                <w:sz w:val="22"/>
                <w:szCs w:val="22"/>
              </w:rPr>
              <w:t>ani</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45960DDB" w14:textId="03BFFDA2" w:rsidR="00C61121" w:rsidRDefault="00C61121"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19 mai</w:t>
            </w:r>
          </w:p>
        </w:tc>
      </w:tr>
      <w:tr w:rsidR="00C61121" w:rsidRPr="00621B33" w14:paraId="1B2775BF"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05A0EC16" w14:textId="7E8B427E" w:rsidR="00C61121" w:rsidRPr="00BB3FA9" w:rsidRDefault="00C05352" w:rsidP="00E9026F">
            <w:pPr>
              <w:spacing w:before="40"/>
              <w:ind w:right="198"/>
              <w:rPr>
                <w:rFonts w:ascii="Book Antiqua" w:hAnsi="Book Antiqua" w:cstheme="minorHAnsi"/>
                <w:i/>
                <w:iCs/>
                <w:color w:val="000000" w:themeColor="text1"/>
                <w:sz w:val="22"/>
                <w:szCs w:val="22"/>
              </w:rPr>
            </w:pPr>
            <w:r w:rsidRPr="00C05352">
              <w:rPr>
                <w:rFonts w:ascii="Book Antiqua" w:hAnsi="Book Antiqua" w:cstheme="minorHAnsi"/>
                <w:i/>
                <w:iCs/>
                <w:color w:val="000000" w:themeColor="text1"/>
                <w:sz w:val="22"/>
                <w:szCs w:val="22"/>
              </w:rPr>
              <w:t>Participare la Bursa generală a locurilor de muncă organizată de Agen</w:t>
            </w:r>
            <w:r w:rsidRPr="00C05352">
              <w:rPr>
                <w:rFonts w:ascii="Cambria" w:hAnsi="Cambria" w:cs="Cambria"/>
                <w:i/>
                <w:iCs/>
                <w:color w:val="000000" w:themeColor="text1"/>
                <w:sz w:val="22"/>
                <w:szCs w:val="22"/>
              </w:rPr>
              <w:t>ț</w:t>
            </w:r>
            <w:r w:rsidRPr="00C05352">
              <w:rPr>
                <w:rFonts w:ascii="Book Antiqua" w:hAnsi="Book Antiqua" w:cstheme="minorHAnsi"/>
                <w:i/>
                <w:iCs/>
                <w:color w:val="000000" w:themeColor="text1"/>
                <w:sz w:val="22"/>
                <w:szCs w:val="22"/>
              </w:rPr>
              <w:t>ia Jude</w:t>
            </w:r>
            <w:r w:rsidRPr="00C05352">
              <w:rPr>
                <w:rFonts w:ascii="Cambria" w:hAnsi="Cambria" w:cs="Cambria"/>
                <w:i/>
                <w:iCs/>
                <w:color w:val="000000" w:themeColor="text1"/>
                <w:sz w:val="22"/>
                <w:szCs w:val="22"/>
              </w:rPr>
              <w:t>ț</w:t>
            </w:r>
            <w:r w:rsidRPr="00C05352">
              <w:rPr>
                <w:rFonts w:ascii="Book Antiqua" w:hAnsi="Book Antiqua" w:cstheme="minorHAnsi"/>
                <w:i/>
                <w:iCs/>
                <w:color w:val="000000" w:themeColor="text1"/>
                <w:sz w:val="22"/>
                <w:szCs w:val="22"/>
              </w:rPr>
              <w:t>ean</w:t>
            </w:r>
            <w:r w:rsidRPr="00C05352">
              <w:rPr>
                <w:rFonts w:ascii="Book Antiqua" w:hAnsi="Book Antiqua" w:cs="Book Antiqua"/>
                <w:i/>
                <w:iCs/>
                <w:color w:val="000000" w:themeColor="text1"/>
                <w:sz w:val="22"/>
                <w:szCs w:val="22"/>
              </w:rPr>
              <w:t>ă</w:t>
            </w:r>
            <w:r w:rsidRPr="00C05352">
              <w:rPr>
                <w:rFonts w:ascii="Book Antiqua" w:hAnsi="Book Antiqua" w:cstheme="minorHAnsi"/>
                <w:i/>
                <w:iCs/>
                <w:color w:val="000000" w:themeColor="text1"/>
                <w:sz w:val="22"/>
                <w:szCs w:val="22"/>
              </w:rPr>
              <w:t xml:space="preserve"> pentru Ocuparea For</w:t>
            </w:r>
            <w:r w:rsidRPr="00C05352">
              <w:rPr>
                <w:rFonts w:ascii="Cambria" w:hAnsi="Cambria" w:cs="Cambria"/>
                <w:i/>
                <w:iCs/>
                <w:color w:val="000000" w:themeColor="text1"/>
                <w:sz w:val="22"/>
                <w:szCs w:val="22"/>
              </w:rPr>
              <w:t>ț</w:t>
            </w:r>
            <w:r w:rsidRPr="00C05352">
              <w:rPr>
                <w:rFonts w:ascii="Book Antiqua" w:hAnsi="Book Antiqua" w:cstheme="minorHAnsi"/>
                <w:i/>
                <w:iCs/>
                <w:color w:val="000000" w:themeColor="text1"/>
                <w:sz w:val="22"/>
                <w:szCs w:val="22"/>
              </w:rPr>
              <w:t>ei de Munc</w:t>
            </w:r>
            <w:r w:rsidRPr="00C05352">
              <w:rPr>
                <w:rFonts w:ascii="Book Antiqua" w:hAnsi="Book Antiqua" w:cs="Book Antiqua"/>
                <w:i/>
                <w:iCs/>
                <w:color w:val="000000" w:themeColor="text1"/>
                <w:sz w:val="22"/>
                <w:szCs w:val="22"/>
              </w:rPr>
              <w:t>ă</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098DACB6" w14:textId="08783F53" w:rsidR="00C61121" w:rsidRDefault="00C05352"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19 mai</w:t>
            </w:r>
          </w:p>
        </w:tc>
      </w:tr>
      <w:tr w:rsidR="00C61121" w:rsidRPr="00621B33" w14:paraId="115BF88A"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44B1E7F9" w14:textId="198F75B5" w:rsidR="00C61121" w:rsidRPr="00BB3FA9" w:rsidRDefault="00C05352" w:rsidP="00E9026F">
            <w:pPr>
              <w:spacing w:before="40"/>
              <w:ind w:right="198"/>
              <w:rPr>
                <w:rFonts w:ascii="Book Antiqua" w:hAnsi="Book Antiqua" w:cstheme="minorHAnsi"/>
                <w:i/>
                <w:iCs/>
                <w:color w:val="000000" w:themeColor="text1"/>
                <w:sz w:val="22"/>
                <w:szCs w:val="22"/>
              </w:rPr>
            </w:pPr>
            <w:r w:rsidRPr="00C05352">
              <w:rPr>
                <w:rFonts w:ascii="Book Antiqua" w:hAnsi="Book Antiqua" w:cstheme="minorHAnsi"/>
                <w:i/>
                <w:iCs/>
                <w:color w:val="000000" w:themeColor="text1"/>
                <w:sz w:val="22"/>
                <w:szCs w:val="22"/>
              </w:rPr>
              <w:t>Participare la  „SĂPTĂMÂNA AVRAMI</w:t>
            </w:r>
            <w:r w:rsidRPr="00C05352">
              <w:rPr>
                <w:rFonts w:ascii="Cambria" w:hAnsi="Cambria" w:cs="Cambria"/>
                <w:i/>
                <w:iCs/>
                <w:color w:val="000000" w:themeColor="text1"/>
                <w:sz w:val="22"/>
                <w:szCs w:val="22"/>
              </w:rPr>
              <w:t>Ș</w:t>
            </w:r>
            <w:r w:rsidRPr="00C05352">
              <w:rPr>
                <w:rFonts w:ascii="Book Antiqua" w:hAnsi="Book Antiqua" w:cstheme="minorHAnsi"/>
                <w:i/>
                <w:iCs/>
                <w:color w:val="000000" w:themeColor="text1"/>
                <w:sz w:val="22"/>
                <w:szCs w:val="22"/>
              </w:rPr>
              <w:t>TILOR</w:t>
            </w:r>
            <w:r w:rsidRPr="00C05352">
              <w:rPr>
                <w:rFonts w:ascii="Book Antiqua" w:hAnsi="Book Antiqua" w:cs="Book Antiqua"/>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781D2687" w14:textId="0821F540" w:rsidR="00C61121" w:rsidRDefault="00C05352"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20 mai</w:t>
            </w:r>
          </w:p>
        </w:tc>
      </w:tr>
      <w:tr w:rsidR="00C61121" w:rsidRPr="00621B33" w14:paraId="3D1B6010"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47A5C49D" w14:textId="3123B713" w:rsidR="00C61121" w:rsidRPr="00BB3FA9" w:rsidRDefault="00C05352" w:rsidP="00E9026F">
            <w:pPr>
              <w:spacing w:before="40"/>
              <w:ind w:right="198"/>
              <w:rPr>
                <w:rFonts w:ascii="Book Antiqua" w:hAnsi="Book Antiqua" w:cstheme="minorHAnsi"/>
                <w:i/>
                <w:iCs/>
                <w:color w:val="000000" w:themeColor="text1"/>
                <w:sz w:val="22"/>
                <w:szCs w:val="22"/>
              </w:rPr>
            </w:pPr>
            <w:r w:rsidRPr="00C05352">
              <w:rPr>
                <w:rFonts w:ascii="Book Antiqua" w:hAnsi="Book Antiqua" w:cstheme="minorHAnsi"/>
                <w:i/>
                <w:iCs/>
                <w:color w:val="000000" w:themeColor="text1"/>
                <w:sz w:val="22"/>
                <w:szCs w:val="22"/>
              </w:rPr>
              <w:t>Participare la cea de-a IV-a edi</w:t>
            </w:r>
            <w:r w:rsidRPr="00C05352">
              <w:rPr>
                <w:rFonts w:ascii="Cambria" w:hAnsi="Cambria" w:cs="Cambria"/>
                <w:i/>
                <w:iCs/>
                <w:color w:val="000000" w:themeColor="text1"/>
                <w:sz w:val="22"/>
                <w:szCs w:val="22"/>
              </w:rPr>
              <w:t>ț</w:t>
            </w:r>
            <w:r w:rsidRPr="00C05352">
              <w:rPr>
                <w:rFonts w:ascii="Book Antiqua" w:hAnsi="Book Antiqua" w:cstheme="minorHAnsi"/>
                <w:i/>
                <w:iCs/>
                <w:color w:val="000000" w:themeColor="text1"/>
                <w:sz w:val="22"/>
                <w:szCs w:val="22"/>
              </w:rPr>
              <w:t xml:space="preserve">ie a </w:t>
            </w:r>
            <w:r w:rsidRPr="00C05352">
              <w:rPr>
                <w:rFonts w:ascii="Book Antiqua" w:hAnsi="Book Antiqua" w:cs="Book Antiqua"/>
                <w:i/>
                <w:iCs/>
                <w:color w:val="000000" w:themeColor="text1"/>
                <w:sz w:val="22"/>
                <w:szCs w:val="22"/>
              </w:rPr>
              <w:t>„</w:t>
            </w:r>
            <w:r w:rsidRPr="00C05352">
              <w:rPr>
                <w:rFonts w:ascii="Book Antiqua" w:hAnsi="Book Antiqua" w:cstheme="minorHAnsi"/>
                <w:i/>
                <w:iCs/>
                <w:color w:val="000000" w:themeColor="text1"/>
                <w:sz w:val="22"/>
                <w:szCs w:val="22"/>
              </w:rPr>
              <w:t xml:space="preserve">PARADEI MOTO </w:t>
            </w:r>
            <w:r w:rsidRPr="00C05352">
              <w:rPr>
                <w:rFonts w:ascii="Book Antiqua" w:hAnsi="Book Antiqua" w:cs="Book Antiqua"/>
                <w:i/>
                <w:iCs/>
                <w:color w:val="000000" w:themeColor="text1"/>
                <w:sz w:val="22"/>
                <w:szCs w:val="22"/>
              </w:rPr>
              <w:t>–</w:t>
            </w:r>
            <w:r w:rsidRPr="00C05352">
              <w:rPr>
                <w:rFonts w:ascii="Book Antiqua" w:hAnsi="Book Antiqua" w:cstheme="minorHAnsi"/>
                <w:i/>
                <w:iCs/>
                <w:color w:val="000000" w:themeColor="text1"/>
                <w:sz w:val="22"/>
                <w:szCs w:val="22"/>
              </w:rPr>
              <w:t xml:space="preserve"> ATEN</w:t>
            </w:r>
            <w:r w:rsidRPr="00C05352">
              <w:rPr>
                <w:rFonts w:ascii="Cambria" w:hAnsi="Cambria" w:cs="Cambria"/>
                <w:i/>
                <w:iCs/>
                <w:color w:val="000000" w:themeColor="text1"/>
                <w:sz w:val="22"/>
                <w:szCs w:val="22"/>
              </w:rPr>
              <w:t>Ț</w:t>
            </w:r>
            <w:r w:rsidRPr="00C05352">
              <w:rPr>
                <w:rFonts w:ascii="Book Antiqua" w:hAnsi="Book Antiqua" w:cstheme="minorHAnsi"/>
                <w:i/>
                <w:iCs/>
                <w:color w:val="000000" w:themeColor="text1"/>
                <w:sz w:val="22"/>
                <w:szCs w:val="22"/>
              </w:rPr>
              <w:t>IE LA MOTOCICLI</w:t>
            </w:r>
            <w:r w:rsidRPr="00C05352">
              <w:rPr>
                <w:rFonts w:ascii="Cambria" w:hAnsi="Cambria" w:cs="Cambria"/>
                <w:i/>
                <w:iCs/>
                <w:color w:val="000000" w:themeColor="text1"/>
                <w:sz w:val="22"/>
                <w:szCs w:val="22"/>
              </w:rPr>
              <w:t>Ș</w:t>
            </w:r>
            <w:r w:rsidRPr="00C05352">
              <w:rPr>
                <w:rFonts w:ascii="Book Antiqua" w:hAnsi="Book Antiqua" w:cstheme="minorHAnsi"/>
                <w:i/>
                <w:iCs/>
                <w:color w:val="000000" w:themeColor="text1"/>
                <w:sz w:val="22"/>
                <w:szCs w:val="22"/>
              </w:rPr>
              <w:t>TI</w:t>
            </w:r>
            <w:r w:rsidRPr="00C05352">
              <w:rPr>
                <w:rFonts w:ascii="Book Antiqua" w:hAnsi="Book Antiqua" w:cs="Book Antiqua"/>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3D7498EC" w14:textId="2FA35189" w:rsidR="00C61121" w:rsidRDefault="00C05352"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21 mai</w:t>
            </w:r>
          </w:p>
        </w:tc>
      </w:tr>
      <w:tr w:rsidR="00C05352" w:rsidRPr="00621B33" w14:paraId="7624DAFE"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1811B175" w14:textId="3EC75463" w:rsidR="00C05352" w:rsidRPr="00BB3FA9" w:rsidRDefault="00C05352" w:rsidP="00C05352">
            <w:pPr>
              <w:spacing w:before="40"/>
              <w:ind w:right="198"/>
              <w:rPr>
                <w:rFonts w:ascii="Book Antiqua" w:hAnsi="Book Antiqua" w:cstheme="minorHAnsi"/>
                <w:i/>
                <w:iCs/>
                <w:color w:val="000000" w:themeColor="text1"/>
                <w:sz w:val="22"/>
                <w:szCs w:val="22"/>
              </w:rPr>
            </w:pPr>
            <w:r w:rsidRPr="00C05352">
              <w:rPr>
                <w:rFonts w:ascii="Book Antiqua" w:hAnsi="Book Antiqua" w:cstheme="minorHAnsi"/>
                <w:i/>
                <w:iCs/>
                <w:color w:val="000000" w:themeColor="text1"/>
                <w:sz w:val="22"/>
                <w:szCs w:val="22"/>
              </w:rPr>
              <w:t>Participare la inaugurarea  „MINIARENA BAL</w:t>
            </w:r>
            <w:r w:rsidRPr="00C05352">
              <w:rPr>
                <w:rFonts w:ascii="Cambria" w:hAnsi="Cambria" w:cs="Cambria"/>
                <w:i/>
                <w:iCs/>
                <w:color w:val="000000" w:themeColor="text1"/>
                <w:sz w:val="22"/>
                <w:szCs w:val="22"/>
              </w:rPr>
              <w:t>Ș</w:t>
            </w:r>
            <w:r w:rsidRPr="00C05352">
              <w:rPr>
                <w:rFonts w:ascii="Book Antiqua" w:hAnsi="Book Antiqua" w:cstheme="minorHAnsi"/>
                <w:i/>
                <w:iCs/>
                <w:color w:val="000000" w:themeColor="text1"/>
                <w:sz w:val="22"/>
                <w:szCs w:val="22"/>
              </w:rPr>
              <w:t>A PARC</w:t>
            </w:r>
            <w:r w:rsidRPr="00C05352">
              <w:rPr>
                <w:rFonts w:ascii="Book Antiqua" w:hAnsi="Book Antiqua" w:cs="Book Antiqua"/>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79D18694" w14:textId="75199970" w:rsidR="00C05352" w:rsidRDefault="00C05352" w:rsidP="00C05352">
            <w:pPr>
              <w:ind w:right="198"/>
              <w:rPr>
                <w:rFonts w:ascii="Times New Roman" w:hAnsi="Times New Roman"/>
                <w:b/>
                <w:bCs/>
                <w:i/>
                <w:iCs/>
                <w:spacing w:val="-4"/>
                <w:sz w:val="22"/>
                <w:szCs w:val="22"/>
              </w:rPr>
            </w:pPr>
            <w:r>
              <w:rPr>
                <w:rFonts w:ascii="Times New Roman" w:hAnsi="Times New Roman"/>
                <w:b/>
                <w:bCs/>
                <w:i/>
                <w:iCs/>
                <w:spacing w:val="-4"/>
                <w:sz w:val="22"/>
                <w:szCs w:val="22"/>
              </w:rPr>
              <w:t>21 mai</w:t>
            </w:r>
          </w:p>
        </w:tc>
      </w:tr>
      <w:tr w:rsidR="00C05352" w:rsidRPr="00621B33" w14:paraId="1B38BCA6"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0FD6E88A" w14:textId="5D9B7F5E" w:rsidR="00C05352" w:rsidRPr="00BB3FA9" w:rsidRDefault="00C05352" w:rsidP="00C05352">
            <w:pPr>
              <w:spacing w:before="40"/>
              <w:ind w:right="198"/>
              <w:rPr>
                <w:rFonts w:ascii="Book Antiqua" w:hAnsi="Book Antiqua" w:cstheme="minorHAnsi"/>
                <w:i/>
                <w:iCs/>
                <w:color w:val="000000" w:themeColor="text1"/>
                <w:sz w:val="22"/>
                <w:szCs w:val="22"/>
              </w:rPr>
            </w:pPr>
            <w:r w:rsidRPr="00C05352">
              <w:rPr>
                <w:rFonts w:ascii="Book Antiqua" w:hAnsi="Book Antiqua" w:cstheme="minorHAnsi"/>
                <w:i/>
                <w:iCs/>
                <w:color w:val="000000" w:themeColor="text1"/>
                <w:sz w:val="22"/>
                <w:szCs w:val="22"/>
              </w:rPr>
              <w:t>Participare la „Festivalul Narciselor” din Săla</w:t>
            </w:r>
            <w:r w:rsidRPr="00C05352">
              <w:rPr>
                <w:rFonts w:ascii="Cambria" w:hAnsi="Cambria" w:cs="Cambria"/>
                <w:i/>
                <w:iCs/>
                <w:color w:val="000000" w:themeColor="text1"/>
                <w:sz w:val="22"/>
                <w:szCs w:val="22"/>
              </w:rPr>
              <w:t>ș</w:t>
            </w:r>
            <w:r w:rsidRPr="00C05352">
              <w:rPr>
                <w:rFonts w:ascii="Book Antiqua" w:hAnsi="Book Antiqua" w:cstheme="minorHAnsi"/>
                <w:i/>
                <w:iCs/>
                <w:color w:val="000000" w:themeColor="text1"/>
                <w:sz w:val="22"/>
                <w:szCs w:val="22"/>
              </w:rPr>
              <w:t>u de Sus</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42A3A689" w14:textId="72204310" w:rsidR="00C05352" w:rsidRDefault="00C05352" w:rsidP="00C05352">
            <w:pPr>
              <w:ind w:right="198"/>
              <w:rPr>
                <w:rFonts w:ascii="Times New Roman" w:hAnsi="Times New Roman"/>
                <w:b/>
                <w:bCs/>
                <w:i/>
                <w:iCs/>
                <w:spacing w:val="-4"/>
                <w:sz w:val="22"/>
                <w:szCs w:val="22"/>
              </w:rPr>
            </w:pPr>
            <w:r>
              <w:rPr>
                <w:rFonts w:ascii="Times New Roman" w:hAnsi="Times New Roman"/>
                <w:b/>
                <w:bCs/>
                <w:i/>
                <w:iCs/>
                <w:spacing w:val="-4"/>
                <w:sz w:val="22"/>
                <w:szCs w:val="22"/>
              </w:rPr>
              <w:t>22 mai</w:t>
            </w:r>
          </w:p>
        </w:tc>
      </w:tr>
      <w:tr w:rsidR="00C05352" w:rsidRPr="00621B33" w14:paraId="5F569238"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72ED0CED" w14:textId="6074BFA9" w:rsidR="00C05352" w:rsidRPr="00BB3FA9" w:rsidRDefault="00C05352" w:rsidP="00C05352">
            <w:pPr>
              <w:spacing w:before="40"/>
              <w:ind w:right="198"/>
              <w:rPr>
                <w:rFonts w:ascii="Book Antiqua" w:hAnsi="Book Antiqua" w:cstheme="minorHAnsi"/>
                <w:i/>
                <w:iCs/>
                <w:color w:val="000000" w:themeColor="text1"/>
                <w:sz w:val="22"/>
                <w:szCs w:val="22"/>
              </w:rPr>
            </w:pPr>
            <w:r w:rsidRPr="00C05352">
              <w:rPr>
                <w:rFonts w:ascii="Book Antiqua" w:hAnsi="Book Antiqua" w:cstheme="minorHAnsi"/>
                <w:i/>
                <w:iCs/>
                <w:color w:val="000000" w:themeColor="text1"/>
                <w:sz w:val="22"/>
                <w:szCs w:val="22"/>
              </w:rPr>
              <w:t>Participare la „CARAVANA FOTBALULUI HUNEDOREAN”</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0B15D344" w14:textId="5AB9B3DF" w:rsidR="00C05352" w:rsidRDefault="00C05352" w:rsidP="00C05352">
            <w:pPr>
              <w:ind w:right="198"/>
              <w:rPr>
                <w:rFonts w:ascii="Times New Roman" w:hAnsi="Times New Roman"/>
                <w:b/>
                <w:bCs/>
                <w:i/>
                <w:iCs/>
                <w:spacing w:val="-4"/>
                <w:sz w:val="22"/>
                <w:szCs w:val="22"/>
              </w:rPr>
            </w:pPr>
            <w:r>
              <w:rPr>
                <w:rFonts w:ascii="Times New Roman" w:hAnsi="Times New Roman"/>
                <w:b/>
                <w:bCs/>
                <w:i/>
                <w:iCs/>
                <w:spacing w:val="-4"/>
                <w:sz w:val="22"/>
                <w:szCs w:val="22"/>
              </w:rPr>
              <w:t>22 mai</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B64163E" w14:textId="77777777" w:rsidR="00312FDF" w:rsidRDefault="00312FDF" w:rsidP="00AF6222">
      <w:pPr>
        <w:spacing w:before="0"/>
        <w:jc w:val="center"/>
        <w:rPr>
          <w:szCs w:val="18"/>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p>
    <w:p w14:paraId="3E2E342F" w14:textId="77777777" w:rsidR="008005D1" w:rsidRPr="008005D1" w:rsidRDefault="008005D1" w:rsidP="008005D1">
      <w:pPr>
        <w:spacing w:before="0" w:after="240"/>
        <w:ind w:right="198"/>
        <w:jc w:val="center"/>
        <w:rPr>
          <w:color w:val="9999FF"/>
          <w:spacing w:val="40"/>
          <w:sz w:val="16"/>
          <w:szCs w:val="16"/>
        </w:rPr>
      </w:pPr>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5FB49035" w14:textId="77777777" w:rsidR="00C50531" w:rsidRDefault="00C50531">
      <w:pPr>
        <w:spacing w:before="0"/>
        <w:rPr>
          <w:szCs w:val="18"/>
        </w:rPr>
      </w:pPr>
      <w:r>
        <w:rPr>
          <w:szCs w:val="18"/>
        </w:rPr>
        <w:br w:type="page"/>
      </w:r>
    </w:p>
    <w:p w14:paraId="7156AFF0" w14:textId="0E1BE889"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53052DE2"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04197251"/>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9" w:name="_Hlk89673293"/>
      <w:r w:rsidR="000C4561">
        <w:rPr>
          <w:rFonts w:ascii="Book Antiqua" w:hAnsi="Book Antiqua"/>
          <w:spacing w:val="-6"/>
          <w:sz w:val="20"/>
        </w:rPr>
        <w:t>16 - 20</w:t>
      </w:r>
      <w:r w:rsidR="00990E57" w:rsidRPr="00990E57">
        <w:rPr>
          <w:rFonts w:ascii="Book Antiqua" w:hAnsi="Book Antiqua"/>
          <w:spacing w:val="-6"/>
          <w:sz w:val="20"/>
        </w:rPr>
        <w:t xml:space="preserve"> mai</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30814DC5" w14:textId="2D366A01" w:rsidR="00FA1DA6" w:rsidRDefault="00FA1DA6" w:rsidP="00C505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48</w:t>
      </w:r>
      <w:r w:rsidR="00CF6B46">
        <w:rPr>
          <w:rFonts w:cs="Arial"/>
          <w:b/>
          <w:bCs/>
          <w:smallCaps/>
          <w:color w:val="0000FF"/>
          <w:szCs w:val="18"/>
          <w:u w:val="single"/>
        </w:rPr>
        <w:t>3/16</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0F7FEB08" w14:textId="61CDD475" w:rsidR="00FA1DA6" w:rsidRDefault="00CF6B46" w:rsidP="00C50531">
      <w:pPr>
        <w:pStyle w:val="ListParagraph"/>
        <w:numPr>
          <w:ilvl w:val="0"/>
          <w:numId w:val="3"/>
        </w:numPr>
        <w:spacing w:before="120"/>
        <w:ind w:left="0" w:right="198"/>
        <w:jc w:val="both"/>
        <w:rPr>
          <w:rFonts w:ascii="Verdana" w:hAnsi="Verdana"/>
          <w:sz w:val="18"/>
          <w:szCs w:val="18"/>
        </w:rPr>
      </w:pPr>
      <w:bookmarkStart w:id="70" w:name="_Hlk103586986"/>
      <w:r>
        <w:rPr>
          <w:rFonts w:ascii="Verdana" w:hAnsi="Verdana"/>
          <w:b/>
          <w:sz w:val="18"/>
          <w:szCs w:val="18"/>
        </w:rPr>
        <w:t>612</w:t>
      </w:r>
      <w:r w:rsidR="00FA1DA6" w:rsidRPr="00FA1DA6">
        <w:rPr>
          <w:rFonts w:ascii="Verdana" w:hAnsi="Verdana"/>
          <w:b/>
          <w:sz w:val="18"/>
          <w:szCs w:val="18"/>
        </w:rPr>
        <w:t xml:space="preserve"> </w:t>
      </w:r>
      <w:r w:rsidR="004A6093">
        <w:rPr>
          <w:lang w:val="ro-RO"/>
        </w:rPr>
        <w:t>–</w:t>
      </w:r>
      <w:r w:rsidR="00FA1DA6" w:rsidRPr="002568C4">
        <w:rPr>
          <w:lang w:val="ro-RO"/>
        </w:rPr>
        <w:t xml:space="preserve"> </w:t>
      </w:r>
      <w:r w:rsidR="004A6093">
        <w:rPr>
          <w:rFonts w:ascii="Verdana" w:hAnsi="Verdana" w:cs="Arial"/>
          <w:b/>
          <w:color w:val="153E7E"/>
          <w:sz w:val="18"/>
          <w:szCs w:val="18"/>
          <w:lang w:val="ro-RO"/>
        </w:rPr>
        <w:t>Guvernul României</w:t>
      </w:r>
      <w:r w:rsidR="00FA1DA6" w:rsidRPr="00772A60">
        <w:rPr>
          <w:rFonts w:ascii="Verdana" w:hAnsi="Verdana" w:cs="Arial"/>
          <w:b/>
          <w:color w:val="153E7E"/>
          <w:sz w:val="18"/>
          <w:szCs w:val="18"/>
          <w:lang w:val="ro-RO"/>
        </w:rPr>
        <w:t xml:space="preserve"> </w:t>
      </w:r>
      <w:r w:rsidR="00FA1DA6">
        <w:rPr>
          <w:lang w:val="ro-RO"/>
        </w:rPr>
        <w:t>-</w:t>
      </w:r>
      <w:r w:rsidR="00FA1DA6" w:rsidRPr="00FA1DA6">
        <w:rPr>
          <w:rFonts w:ascii="Verdana" w:hAnsi="Verdana"/>
          <w:sz w:val="18"/>
          <w:szCs w:val="18"/>
        </w:rPr>
        <w:t xml:space="preserve"> </w:t>
      </w:r>
      <w:bookmarkEnd w:id="70"/>
      <w:r w:rsidRPr="00CF6B46">
        <w:rPr>
          <w:rFonts w:ascii="Verdana" w:hAnsi="Verdana"/>
          <w:sz w:val="18"/>
          <w:szCs w:val="18"/>
          <w:lang w:val="ro-RO"/>
        </w:rPr>
        <w:t>Hotărâre privind aprobarea amplasamentului și declanșarea procedurilor de expropriere a tuturor imobilelor proprietate privată care constituie coridorul de expropriere al lucrării de utilitate publică de interes național „Acumularea Mihăileni pe râul Crișul Alb, județul Hunedoara“</w:t>
      </w:r>
    </w:p>
    <w:p w14:paraId="6A57FA11" w14:textId="6D61C7A0" w:rsidR="004A6093" w:rsidRDefault="004A6093" w:rsidP="00C505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484/16</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4C213F22" w14:textId="70C09F94" w:rsidR="004A6093" w:rsidRPr="004A6093" w:rsidRDefault="004A6093" w:rsidP="00C50531">
      <w:pPr>
        <w:pStyle w:val="ListParagraph"/>
        <w:numPr>
          <w:ilvl w:val="0"/>
          <w:numId w:val="3"/>
        </w:numPr>
        <w:spacing w:before="120"/>
        <w:ind w:left="0" w:right="198"/>
        <w:jc w:val="both"/>
        <w:rPr>
          <w:rFonts w:ascii="Verdana" w:hAnsi="Verdana"/>
          <w:sz w:val="18"/>
          <w:szCs w:val="18"/>
        </w:rPr>
      </w:pPr>
      <w:r>
        <w:rPr>
          <w:rFonts w:ascii="Verdana" w:hAnsi="Verdana"/>
          <w:b/>
          <w:sz w:val="18"/>
          <w:szCs w:val="18"/>
        </w:rPr>
        <w:t>137</w:t>
      </w:r>
      <w:r w:rsidRPr="00FA1DA6">
        <w:rPr>
          <w:rFonts w:ascii="Verdana" w:hAnsi="Verdana"/>
          <w:b/>
          <w:sz w:val="18"/>
          <w:szCs w:val="18"/>
        </w:rPr>
        <w:t xml:space="preserve"> </w:t>
      </w:r>
      <w:r w:rsidRPr="002568C4">
        <w:rPr>
          <w:lang w:val="ro-RO"/>
        </w:rPr>
        <w:t xml:space="preserve">- </w:t>
      </w:r>
      <w:r w:rsidRPr="004A6093">
        <w:rPr>
          <w:rFonts w:ascii="Verdana" w:hAnsi="Verdana" w:cs="Arial"/>
          <w:b/>
          <w:color w:val="153E7E"/>
          <w:sz w:val="18"/>
          <w:szCs w:val="18"/>
          <w:lang w:val="ro-RO"/>
        </w:rPr>
        <w:t>Parlamentul României</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4A6093">
        <w:rPr>
          <w:rFonts w:ascii="Verdana" w:hAnsi="Verdana"/>
          <w:sz w:val="18"/>
          <w:szCs w:val="18"/>
          <w:lang w:val="ro-RO"/>
        </w:rPr>
        <w:t>Lege privind completarea art. 4 din Legea nr. 1/2000 pentru reconstituirea dreptului de proprietate asupra terenurilor agricole și celor forestiere, solicitate potrivit prevederilor Legii fondului funciar nr. 18/1991 și ale Legii nr. 169/1997</w:t>
      </w:r>
    </w:p>
    <w:p w14:paraId="305C6BAA" w14:textId="63833F1D" w:rsidR="004A6093" w:rsidRPr="004724F3" w:rsidRDefault="004A6093" w:rsidP="00C50531">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138 </w:t>
      </w:r>
      <w:r w:rsidRPr="002568C4">
        <w:rPr>
          <w:lang w:val="ro-RO"/>
        </w:rPr>
        <w:t xml:space="preserve">- </w:t>
      </w:r>
      <w:r w:rsidRPr="004A6093">
        <w:rPr>
          <w:rFonts w:ascii="Verdana" w:hAnsi="Verdana" w:cs="Arial"/>
          <w:b/>
          <w:color w:val="153E7E"/>
          <w:sz w:val="18"/>
          <w:szCs w:val="18"/>
          <w:lang w:val="ro-RO"/>
        </w:rPr>
        <w:t>Parlamentul României</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4A6093">
        <w:rPr>
          <w:rFonts w:ascii="Verdana" w:hAnsi="Verdana"/>
          <w:sz w:val="18"/>
          <w:szCs w:val="18"/>
          <w:lang w:val="ro-RO"/>
        </w:rPr>
        <w:t>Lege pentru modificarea și completarea Legii nr. 205/2004 privind protecția animalelor</w:t>
      </w:r>
    </w:p>
    <w:p w14:paraId="5B5865A5" w14:textId="30F1C881" w:rsidR="004724F3" w:rsidRDefault="004724F3" w:rsidP="00C505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486/16</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69404B39" w14:textId="1FEABD71" w:rsidR="004724F3" w:rsidRPr="004A6093" w:rsidRDefault="004724F3" w:rsidP="00C50531">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389 </w:t>
      </w:r>
      <w:r w:rsidRPr="002568C4">
        <w:rPr>
          <w:lang w:val="ro-RO"/>
        </w:rPr>
        <w:t xml:space="preserve">- </w:t>
      </w:r>
      <w:r w:rsidRPr="004724F3">
        <w:rPr>
          <w:rFonts w:ascii="Verdana" w:hAnsi="Verdana" w:cs="Arial"/>
          <w:b/>
          <w:color w:val="153E7E"/>
          <w:sz w:val="18"/>
          <w:szCs w:val="18"/>
          <w:lang w:val="ro-RO"/>
        </w:rPr>
        <w:t>Ministerul Sportului</w:t>
      </w:r>
      <w:r>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4724F3">
        <w:rPr>
          <w:rFonts w:ascii="Verdana" w:hAnsi="Verdana"/>
          <w:sz w:val="18"/>
          <w:szCs w:val="18"/>
          <w:lang w:val="ro-RO"/>
        </w:rPr>
        <w:t>Ordin pentru aprobarea Procedurii privind justificarea utilizării sumelor acordate în baza contractului de finanțare, precum și modalitatea de transmitere a documentelor în format electronic</w:t>
      </w:r>
    </w:p>
    <w:p w14:paraId="5561E2C4" w14:textId="4B6226F4" w:rsidR="004724F3" w:rsidRDefault="004724F3" w:rsidP="00C505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489/17</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27456254" w14:textId="358A53A3" w:rsidR="004724F3" w:rsidRPr="004A6093" w:rsidRDefault="004724F3" w:rsidP="00C50531">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635 </w:t>
      </w:r>
      <w:r w:rsidRPr="002568C4">
        <w:rPr>
          <w:lang w:val="ro-RO"/>
        </w:rPr>
        <w:t xml:space="preserve">- </w:t>
      </w:r>
      <w:r>
        <w:rPr>
          <w:rFonts w:ascii="Verdana" w:hAnsi="Verdana" w:cs="Arial"/>
          <w:b/>
          <w:color w:val="153E7E"/>
          <w:sz w:val="18"/>
          <w:szCs w:val="18"/>
          <w:lang w:val="ro-RO"/>
        </w:rPr>
        <w:t>Guvernul României</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Pr>
          <w:rFonts w:ascii="Verdana" w:hAnsi="Verdana"/>
          <w:sz w:val="18"/>
          <w:szCs w:val="18"/>
        </w:rPr>
        <w:t>H</w:t>
      </w:r>
      <w:r w:rsidRPr="004724F3">
        <w:rPr>
          <w:rFonts w:ascii="Verdana" w:hAnsi="Verdana"/>
          <w:sz w:val="18"/>
          <w:szCs w:val="18"/>
          <w:lang w:val="ro-RO"/>
        </w:rPr>
        <w:t>otărâre privind procedura de consultare a structurilor asociative ale autorităților administrației publice locale la elaborarea proiectelor de acte normative</w:t>
      </w:r>
    </w:p>
    <w:p w14:paraId="32FE282F" w14:textId="757E3716" w:rsidR="004724F3" w:rsidRPr="00656297" w:rsidRDefault="00656297" w:rsidP="00C50531">
      <w:pPr>
        <w:pStyle w:val="ListParagraph"/>
        <w:numPr>
          <w:ilvl w:val="0"/>
          <w:numId w:val="3"/>
        </w:numPr>
        <w:spacing w:before="120"/>
        <w:ind w:left="0" w:right="198"/>
        <w:jc w:val="both"/>
        <w:rPr>
          <w:rFonts w:ascii="Verdana" w:hAnsi="Verdana"/>
          <w:sz w:val="18"/>
          <w:szCs w:val="18"/>
        </w:rPr>
      </w:pPr>
      <w:r w:rsidRPr="00656297">
        <w:rPr>
          <w:rFonts w:ascii="Verdana" w:hAnsi="Verdana"/>
          <w:b/>
          <w:sz w:val="18"/>
          <w:szCs w:val="18"/>
        </w:rPr>
        <w:t>713</w:t>
      </w:r>
      <w:r>
        <w:rPr>
          <w:rFonts w:ascii="Verdana" w:hAnsi="Verdana"/>
          <w:sz w:val="18"/>
          <w:szCs w:val="18"/>
        </w:rPr>
        <w:t xml:space="preserve"> - </w:t>
      </w:r>
      <w:r w:rsidRPr="00656297">
        <w:rPr>
          <w:rFonts w:ascii="Verdana" w:hAnsi="Verdana" w:cs="Arial"/>
          <w:b/>
          <w:color w:val="153E7E"/>
          <w:sz w:val="18"/>
          <w:szCs w:val="18"/>
          <w:lang w:val="ro-RO"/>
        </w:rPr>
        <w:t>Ministerul Dezvoltării, Lucrărilor Publice și Administrației</w:t>
      </w:r>
      <w:r>
        <w:rPr>
          <w:rFonts w:ascii="Verdana" w:hAnsi="Verdana"/>
          <w:sz w:val="18"/>
          <w:szCs w:val="18"/>
        </w:rPr>
        <w:t xml:space="preserve"> - </w:t>
      </w:r>
      <w:r w:rsidRPr="00656297">
        <w:rPr>
          <w:rFonts w:ascii="Verdana" w:hAnsi="Verdana"/>
          <w:sz w:val="18"/>
          <w:szCs w:val="18"/>
          <w:lang w:val="ro-RO"/>
        </w:rPr>
        <w:t>Ordin privind actualizarea sumelor pentru cofinanțarea lucrărilor de investiții pentru modernizarea, reabilitarea, retehnologizarea și extinderea sau înființarea sistemelor de alimentare centralizată cu energie termică a localităților, conform Programului Termoficare</w:t>
      </w:r>
    </w:p>
    <w:p w14:paraId="2055CB49" w14:textId="2EDBB9A5" w:rsidR="00656297" w:rsidRDefault="00656297" w:rsidP="00C505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490/17</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16647FEC" w14:textId="419F4CAD" w:rsidR="00656297" w:rsidRPr="004A6093" w:rsidRDefault="00656297" w:rsidP="00C50531">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139 </w:t>
      </w:r>
      <w:r w:rsidRPr="002568C4">
        <w:rPr>
          <w:lang w:val="ro-RO"/>
        </w:rPr>
        <w:t xml:space="preserve">- </w:t>
      </w:r>
      <w:r w:rsidRPr="004A6093">
        <w:rPr>
          <w:rFonts w:ascii="Verdana" w:hAnsi="Verdana" w:cs="Arial"/>
          <w:b/>
          <w:color w:val="153E7E"/>
          <w:sz w:val="18"/>
          <w:szCs w:val="18"/>
          <w:lang w:val="ro-RO"/>
        </w:rPr>
        <w:t xml:space="preserve">Parlamentul </w:t>
      </w:r>
      <w:r>
        <w:rPr>
          <w:rFonts w:ascii="Verdana" w:hAnsi="Verdana" w:cs="Arial"/>
          <w:b/>
          <w:color w:val="153E7E"/>
          <w:sz w:val="18"/>
          <w:szCs w:val="18"/>
          <w:lang w:val="ro-RO"/>
        </w:rPr>
        <w:t>României</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656297">
        <w:rPr>
          <w:rFonts w:ascii="Verdana" w:hAnsi="Verdana"/>
          <w:sz w:val="18"/>
          <w:szCs w:val="18"/>
          <w:lang w:val="ro-RO"/>
        </w:rPr>
        <w:t>Lege pentru aprobarea Ordonanței de urgență a Guvernului nr. 120/2021 privind administrarea, funcționarea și implementarea sistemului național privind factura electronică RO e-Factura și factura electronică în România, precum și pentru completarea Ordonanței Guvernului nr. 78/2000 privind omologarea, eliberarea cărții de identitate a vehiculului și certificarea autenticității vehiculelor rutiere în vederea introducerii pe piață, punerii la dispoziție pe piață, înmatriculării sau înregistrării în România, precum și supravegherea pieței pentru acestea</w:t>
      </w:r>
    </w:p>
    <w:p w14:paraId="5CA77C3B" w14:textId="4320C895" w:rsidR="00656297" w:rsidRPr="00656297" w:rsidRDefault="00656297" w:rsidP="00C50531">
      <w:pPr>
        <w:pStyle w:val="ListParagraph"/>
        <w:numPr>
          <w:ilvl w:val="0"/>
          <w:numId w:val="3"/>
        </w:numPr>
        <w:spacing w:before="120"/>
        <w:ind w:left="0" w:right="198"/>
        <w:jc w:val="both"/>
        <w:rPr>
          <w:rFonts w:ascii="Verdana" w:hAnsi="Verdana"/>
          <w:sz w:val="18"/>
          <w:szCs w:val="18"/>
        </w:rPr>
      </w:pPr>
      <w:r w:rsidRPr="00656297">
        <w:rPr>
          <w:rFonts w:ascii="Verdana" w:hAnsi="Verdana"/>
          <w:b/>
          <w:sz w:val="18"/>
          <w:szCs w:val="18"/>
        </w:rPr>
        <w:t>1376</w:t>
      </w:r>
      <w:r>
        <w:rPr>
          <w:rFonts w:ascii="Verdana" w:hAnsi="Verdana"/>
          <w:sz w:val="18"/>
          <w:szCs w:val="18"/>
        </w:rPr>
        <w:t xml:space="preserve"> - </w:t>
      </w:r>
      <w:r w:rsidRPr="00656297">
        <w:rPr>
          <w:rFonts w:ascii="Verdana" w:hAnsi="Verdana" w:cs="Arial"/>
          <w:b/>
          <w:color w:val="153E7E"/>
          <w:sz w:val="18"/>
          <w:szCs w:val="18"/>
          <w:lang w:val="ro-RO"/>
        </w:rPr>
        <w:t>Ministerul Sănătății</w:t>
      </w:r>
      <w:r w:rsidRPr="00656297">
        <w:rPr>
          <w:rFonts w:ascii="Verdana" w:hAnsi="Verdana"/>
          <w:sz w:val="18"/>
          <w:szCs w:val="18"/>
          <w:lang w:val="ro-RO"/>
        </w:rPr>
        <w:t xml:space="preserve"> </w:t>
      </w:r>
      <w:r>
        <w:rPr>
          <w:rFonts w:ascii="Verdana" w:hAnsi="Verdana"/>
          <w:sz w:val="18"/>
          <w:szCs w:val="18"/>
          <w:lang w:val="ro-RO"/>
        </w:rPr>
        <w:t xml:space="preserve"> - </w:t>
      </w:r>
      <w:r w:rsidRPr="00656297">
        <w:rPr>
          <w:rFonts w:ascii="Verdana" w:hAnsi="Verdana"/>
          <w:sz w:val="18"/>
          <w:szCs w:val="18"/>
          <w:lang w:val="ro-RO"/>
        </w:rPr>
        <w:t>Ordin pentru modificarea Ordinului ministrului sănătății publice nr. 112/2007 privind criteriile de performanță în baza cărora contractul de management poate fi prelungit sau poate înceta înainte de termen</w:t>
      </w:r>
    </w:p>
    <w:p w14:paraId="0B0450CA" w14:textId="49D3256B" w:rsidR="00656297" w:rsidRPr="00AF60D0" w:rsidRDefault="00656297" w:rsidP="00C50531">
      <w:pPr>
        <w:pStyle w:val="ListParagraph"/>
        <w:numPr>
          <w:ilvl w:val="0"/>
          <w:numId w:val="3"/>
        </w:numPr>
        <w:spacing w:before="120"/>
        <w:ind w:left="0" w:right="198"/>
        <w:jc w:val="both"/>
        <w:rPr>
          <w:rFonts w:ascii="Verdana" w:hAnsi="Verdana"/>
          <w:sz w:val="18"/>
          <w:szCs w:val="18"/>
        </w:rPr>
      </w:pPr>
      <w:r w:rsidRPr="00656297">
        <w:rPr>
          <w:rFonts w:ascii="Verdana" w:hAnsi="Verdana"/>
          <w:b/>
          <w:sz w:val="18"/>
          <w:szCs w:val="18"/>
        </w:rPr>
        <w:t>20465</w:t>
      </w:r>
      <w:r>
        <w:rPr>
          <w:rFonts w:ascii="Verdana" w:hAnsi="Verdana"/>
          <w:sz w:val="18"/>
          <w:szCs w:val="18"/>
        </w:rPr>
        <w:t xml:space="preserve"> - </w:t>
      </w:r>
      <w:r w:rsidRPr="00656297">
        <w:rPr>
          <w:rFonts w:ascii="Verdana" w:hAnsi="Verdana" w:cs="Arial"/>
          <w:b/>
          <w:color w:val="153E7E"/>
          <w:sz w:val="18"/>
          <w:szCs w:val="18"/>
          <w:lang w:val="ro-RO"/>
        </w:rPr>
        <w:t>Ministerul Cercetării, Inovării și Digitalizării</w:t>
      </w:r>
      <w:r>
        <w:rPr>
          <w:rFonts w:ascii="Verdana" w:hAnsi="Verdana"/>
          <w:sz w:val="18"/>
          <w:szCs w:val="18"/>
        </w:rPr>
        <w:t xml:space="preserve"> - </w:t>
      </w:r>
      <w:r w:rsidRPr="00656297">
        <w:rPr>
          <w:rFonts w:ascii="Verdana" w:hAnsi="Verdana"/>
          <w:sz w:val="18"/>
          <w:szCs w:val="18"/>
          <w:lang w:val="ro-RO"/>
        </w:rPr>
        <w:t>Ordin privind aprobarea Schemei de ajutor de stat „Atragerea resurselor umane înalt specializate din străinătate în activități de cercetare, dezvoltare și inovare“, asociată Planului național de redresare și reziliență al României, pilonul III, componenta C9, 2021-2026</w:t>
      </w:r>
    </w:p>
    <w:p w14:paraId="447F434A" w14:textId="41445FED" w:rsidR="00AF60D0" w:rsidRDefault="00AF60D0" w:rsidP="00C505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494/18</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7A37A9F0" w14:textId="2257EB6E" w:rsidR="00AF60D0" w:rsidRPr="00AF60D0" w:rsidRDefault="00AF60D0" w:rsidP="00C50531">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651 </w:t>
      </w:r>
      <w:r w:rsidRPr="002568C4">
        <w:rPr>
          <w:lang w:val="ro-RO"/>
        </w:rPr>
        <w:t xml:space="preserve">- </w:t>
      </w:r>
      <w:r>
        <w:rPr>
          <w:rFonts w:ascii="Verdana" w:hAnsi="Verdana" w:cs="Arial"/>
          <w:b/>
          <w:color w:val="153E7E"/>
          <w:sz w:val="18"/>
          <w:szCs w:val="18"/>
          <w:lang w:val="ro-RO"/>
        </w:rPr>
        <w:t>Guvernul</w:t>
      </w:r>
      <w:r w:rsidRPr="004A6093">
        <w:rPr>
          <w:rFonts w:ascii="Verdana" w:hAnsi="Verdana" w:cs="Arial"/>
          <w:b/>
          <w:color w:val="153E7E"/>
          <w:sz w:val="18"/>
          <w:szCs w:val="18"/>
          <w:lang w:val="ro-RO"/>
        </w:rPr>
        <w:t xml:space="preserve"> </w:t>
      </w:r>
      <w:r>
        <w:rPr>
          <w:rFonts w:ascii="Verdana" w:hAnsi="Verdana" w:cs="Arial"/>
          <w:b/>
          <w:color w:val="153E7E"/>
          <w:sz w:val="18"/>
          <w:szCs w:val="18"/>
          <w:lang w:val="ro-RO"/>
        </w:rPr>
        <w:t>României</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AF60D0">
        <w:rPr>
          <w:rFonts w:ascii="Verdana" w:hAnsi="Verdana"/>
          <w:sz w:val="18"/>
          <w:szCs w:val="18"/>
          <w:lang w:val="ro-RO"/>
        </w:rPr>
        <w:t>Hotărâre pentru aprobarea Programului național de acțiune privind implementarea Sistemului european de management al traficului feroviar</w:t>
      </w:r>
    </w:p>
    <w:p w14:paraId="21EF9914" w14:textId="390A43FE" w:rsidR="00AF60D0" w:rsidRPr="00A53D90" w:rsidRDefault="00AF60D0" w:rsidP="00C50531">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20466 -</w:t>
      </w:r>
      <w:r>
        <w:rPr>
          <w:rFonts w:ascii="Verdana" w:hAnsi="Verdana"/>
          <w:sz w:val="18"/>
          <w:szCs w:val="18"/>
        </w:rPr>
        <w:t xml:space="preserve"> </w:t>
      </w:r>
      <w:r w:rsidRPr="00AF60D0">
        <w:rPr>
          <w:rFonts w:ascii="Verdana" w:hAnsi="Verdana" w:cs="Arial"/>
          <w:b/>
          <w:color w:val="153E7E"/>
          <w:sz w:val="18"/>
          <w:szCs w:val="18"/>
          <w:lang w:val="ro-RO"/>
        </w:rPr>
        <w:t>Ministerul Cercetării, Inovării și Digitalizării</w:t>
      </w:r>
      <w:r w:rsidRPr="00AF60D0">
        <w:rPr>
          <w:rFonts w:ascii="Verdana" w:hAnsi="Verdana"/>
          <w:sz w:val="18"/>
          <w:szCs w:val="18"/>
          <w:lang w:val="ro-RO"/>
        </w:rPr>
        <w:t xml:space="preserve"> </w:t>
      </w:r>
      <w:r>
        <w:rPr>
          <w:rFonts w:ascii="Verdana" w:hAnsi="Verdana"/>
          <w:sz w:val="18"/>
          <w:szCs w:val="18"/>
          <w:lang w:val="ro-RO"/>
        </w:rPr>
        <w:t xml:space="preserve"> - </w:t>
      </w:r>
      <w:r w:rsidRPr="00AF60D0">
        <w:rPr>
          <w:rFonts w:ascii="Verdana" w:hAnsi="Verdana"/>
          <w:sz w:val="18"/>
          <w:szCs w:val="18"/>
          <w:lang w:val="ro-RO"/>
        </w:rPr>
        <w:t>Ordin privind aprobarea Schemei de ajutor de stat „Acordare granturi pentru posesorii de certificate de excelență Marie Sklodowska Curie“, asociată Planului național de redresare și reziliență al României, pilonul III, componenta C9, 2021-2026</w:t>
      </w:r>
    </w:p>
    <w:p w14:paraId="3E0CE17D" w14:textId="3F17412A" w:rsidR="00A53D90" w:rsidRDefault="00A53D90" w:rsidP="00C50531">
      <w:pPr>
        <w:ind w:right="198"/>
        <w:jc w:val="both"/>
        <w:rPr>
          <w:rFonts w:cs="Arial"/>
          <w:b/>
          <w:bCs/>
          <w:smallCaps/>
          <w:color w:val="0000FF"/>
          <w:szCs w:val="18"/>
          <w:u w:val="single"/>
        </w:rPr>
      </w:pPr>
      <w:r w:rsidRPr="0041382A">
        <w:rPr>
          <w:rFonts w:cs="Arial"/>
          <w:b/>
          <w:bCs/>
          <w:smallCaps/>
          <w:color w:val="0000FF"/>
          <w:szCs w:val="18"/>
          <w:u w:val="single"/>
        </w:rPr>
        <w:lastRenderedPageBreak/>
        <w:t>M. Of. nr.</w:t>
      </w:r>
      <w:r>
        <w:rPr>
          <w:rFonts w:cs="Arial"/>
          <w:b/>
          <w:bCs/>
          <w:smallCaps/>
          <w:color w:val="0000FF"/>
          <w:szCs w:val="18"/>
          <w:u w:val="single"/>
        </w:rPr>
        <w:t xml:space="preserve"> 500/20 mai 2022</w:t>
      </w:r>
    </w:p>
    <w:p w14:paraId="5C5EDB38" w14:textId="25DC43A5" w:rsidR="00A53D90" w:rsidRPr="00C50531" w:rsidRDefault="00A53D90" w:rsidP="00C50531">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140 </w:t>
      </w:r>
      <w:r w:rsidRPr="002568C4">
        <w:rPr>
          <w:lang w:val="ro-RO"/>
        </w:rPr>
        <w:t xml:space="preserve">- </w:t>
      </w:r>
      <w:r w:rsidRPr="00A53D90">
        <w:rPr>
          <w:rFonts w:ascii="Verdana" w:hAnsi="Verdana" w:cs="Arial"/>
          <w:b/>
          <w:color w:val="153E7E"/>
          <w:sz w:val="18"/>
          <w:szCs w:val="18"/>
          <w:lang w:val="ro-RO"/>
        </w:rPr>
        <w:t>Parlamentul </w:t>
      </w:r>
      <w:r>
        <w:rPr>
          <w:rFonts w:ascii="Verdana" w:hAnsi="Verdana" w:cs="Arial"/>
          <w:b/>
          <w:color w:val="153E7E"/>
          <w:sz w:val="18"/>
          <w:szCs w:val="18"/>
          <w:lang w:val="ro-RO"/>
        </w:rPr>
        <w:t>României</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A53D90">
        <w:rPr>
          <w:rFonts w:ascii="Verdana" w:hAnsi="Verdana"/>
          <w:sz w:val="18"/>
          <w:szCs w:val="18"/>
          <w:lang w:val="ro-RO"/>
        </w:rPr>
        <w:t>Lege privind unele măsuri de ocrotire pentru persoanele cu dizabilități intelectuale și psihosociale și modificarea și completarea unor acte normative</w:t>
      </w:r>
    </w:p>
    <w:p w14:paraId="35452CAD" w14:textId="77777777" w:rsidR="002C6F1A" w:rsidRDefault="002C6F1A" w:rsidP="00C50531">
      <w:pPr>
        <w:pStyle w:val="Stilsursa"/>
        <w:spacing w:before="0"/>
        <w:ind w:right="198"/>
        <w:jc w:val="left"/>
        <w:rPr>
          <w:szCs w:val="14"/>
        </w:rPr>
      </w:pPr>
    </w:p>
    <w:p w14:paraId="29F128EA" w14:textId="72CCC8E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1" w:name="_Toc466963739"/>
      <w:bookmarkStart w:id="72" w:name="_Toc466979916"/>
      <w:bookmarkStart w:id="73" w:name="_Toc471563015"/>
      <w:bookmarkStart w:id="74" w:name="_Toc471731292"/>
      <w:bookmarkStart w:id="75" w:name="_Toc472338683"/>
      <w:bookmarkStart w:id="76" w:name="_Toc473218180"/>
      <w:bookmarkStart w:id="77" w:name="_Toc474059051"/>
      <w:bookmarkStart w:id="78" w:name="_Toc474495557"/>
      <w:bookmarkStart w:id="79" w:name="_Toc475352759"/>
      <w:bookmarkStart w:id="80" w:name="_Toc476739894"/>
      <w:bookmarkStart w:id="81" w:name="_Toc477177296"/>
      <w:bookmarkStart w:id="82" w:name="_Toc477777062"/>
      <w:bookmarkStart w:id="83" w:name="_Toc478389420"/>
      <w:bookmarkStart w:id="84" w:name="_Toc479606758"/>
      <w:bookmarkStart w:id="85" w:name="_Toc486251855"/>
      <w:bookmarkStart w:id="86" w:name="_Toc486331070"/>
      <w:bookmarkStart w:id="87" w:name="_Toc486333440"/>
      <w:bookmarkStart w:id="88" w:name="_Toc492996408"/>
      <w:bookmarkStart w:id="89" w:name="_Toc503284367"/>
      <w:bookmarkStart w:id="90" w:name="_Toc504038454"/>
      <w:bookmarkStart w:id="91" w:name="_Toc534654854"/>
      <w:bookmarkStart w:id="92" w:name="_Toc534655685"/>
      <w:bookmarkStart w:id="93" w:name="_Toc534656759"/>
      <w:bookmarkStart w:id="94" w:name="_Toc534657364"/>
      <w:bookmarkStart w:id="95" w:name="_Toc534657904"/>
      <w:bookmarkStart w:id="96" w:name="_Toc534658319"/>
      <w:bookmarkStart w:id="97" w:name="_Toc534658840"/>
      <w:bookmarkStart w:id="98" w:name="_Toc534659385"/>
      <w:bookmarkStart w:id="99" w:name="_Toc534659920"/>
      <w:bookmarkStart w:id="100" w:name="_Toc534660444"/>
      <w:bookmarkStart w:id="101" w:name="_Toc534661788"/>
      <w:bookmarkStart w:id="102" w:name="_Toc534662923"/>
      <w:bookmarkStart w:id="103" w:name="_Toc534663922"/>
      <w:bookmarkStart w:id="104" w:name="_Toc535315378"/>
      <w:bookmarkStart w:id="105" w:name="_Toc535315448"/>
      <w:bookmarkStart w:id="106" w:name="_Toc536193153"/>
      <w:bookmarkStart w:id="107" w:name="_Toc2601511"/>
      <w:bookmarkStart w:id="108" w:name="_Toc3205609"/>
      <w:bookmarkStart w:id="109" w:name="_Toc4760790"/>
      <w:bookmarkStart w:id="110" w:name="_Toc5634690"/>
      <w:bookmarkStart w:id="111" w:name="_Toc6411932"/>
      <w:bookmarkStart w:id="112" w:name="_Toc7101129"/>
      <w:bookmarkStart w:id="113" w:name="_Toc8805104"/>
      <w:bookmarkStart w:id="114" w:name="_Toc8805134"/>
      <w:bookmarkStart w:id="115" w:name="_Toc9266394"/>
      <w:bookmarkStart w:id="116" w:name="_Toc12617698"/>
      <w:bookmarkStart w:id="117"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75271948" w14:textId="72E8512D" w:rsidR="00D91995" w:rsidRDefault="00D91995" w:rsidP="00C50531">
      <w:pPr>
        <w:pStyle w:val="separatorcapitole"/>
        <w:ind w:right="198"/>
      </w:pPr>
      <w:bookmarkStart w:id="118" w:name="_Hlk94011750"/>
      <w:r w:rsidRPr="00F50627">
        <w:sym w:font="Wingdings" w:char="F07B"/>
      </w:r>
      <w:r w:rsidRPr="00F50627">
        <w:sym w:font="Wingdings" w:char="F07B"/>
      </w:r>
      <w:r w:rsidRPr="00F50627">
        <w:sym w:font="Wingdings" w:char="F07B"/>
      </w:r>
    </w:p>
    <w:p w14:paraId="0C0CEE28" w14:textId="08BE2852" w:rsidR="00F56410" w:rsidRDefault="00F56410" w:rsidP="00B2000B">
      <w:pPr>
        <w:pStyle w:val="InfoEuropeana"/>
        <w:spacing w:before="0"/>
        <w:ind w:right="198"/>
      </w:pPr>
      <w:bookmarkStart w:id="119" w:name="_Toc104197252"/>
      <w:bookmarkEnd w:id="118"/>
      <w:r>
        <w:t>C</w:t>
      </w:r>
      <w:r w:rsidR="009E2EE4">
        <w:t>o</w:t>
      </w:r>
      <w:r>
        <w:t>municate de presă ale Guvernului României</w:t>
      </w:r>
      <w:bookmarkEnd w:id="119"/>
    </w:p>
    <w:p w14:paraId="2D159BD1" w14:textId="77777777" w:rsidR="00891692" w:rsidRPr="00891692" w:rsidRDefault="00891692" w:rsidP="00891692">
      <w:pPr>
        <w:pStyle w:val="TitluArticolinINFOUE"/>
      </w:pPr>
      <w:bookmarkStart w:id="120" w:name="_Toc104197253"/>
      <w:r w:rsidRPr="00891692">
        <w:rPr>
          <w:rStyle w:val="Strong"/>
          <w:b/>
          <w:bCs w:val="0"/>
        </w:rPr>
        <w:t>Întrevederea premierului Nicolae-Ionel Ciucă cu vicepreședintele companiei Lockheed Martin</w:t>
      </w:r>
      <w:bookmarkEnd w:id="120"/>
    </w:p>
    <w:p w14:paraId="34CB330A" w14:textId="77777777" w:rsidR="00C61121" w:rsidRDefault="00891692" w:rsidP="00C61121">
      <w:pPr>
        <w:jc w:val="both"/>
        <w:rPr>
          <w:szCs w:val="18"/>
        </w:rPr>
      </w:pPr>
      <w:r w:rsidRPr="00891692">
        <w:rPr>
          <w:szCs w:val="18"/>
        </w:rPr>
        <w:t>Prim-ministrul Nicolae-Ionel Ciucă s-a întâlnit, la Palatul Victoria, cu vicepreședintele pentru afaceri internaționale al companiei Lockheed Martin, Raymond Pisseli.</w:t>
      </w:r>
    </w:p>
    <w:p w14:paraId="6DEB2917" w14:textId="77777777" w:rsidR="00C61121" w:rsidRDefault="00891692" w:rsidP="00C61121">
      <w:pPr>
        <w:jc w:val="both"/>
        <w:rPr>
          <w:szCs w:val="18"/>
        </w:rPr>
      </w:pPr>
      <w:r w:rsidRPr="00891692">
        <w:rPr>
          <w:szCs w:val="18"/>
        </w:rPr>
        <w:t>În cadrul întrevederii, au fost analizate oportunitățile de a consolida componenta economică  a Parteneriatului  strategic cu SUA, fiind prezentate inițiativele Lockheed Martin în domeniul cooperării industriale și de cercetare-dezvoltare, alături de companiile și instituțiile românești.</w:t>
      </w:r>
    </w:p>
    <w:p w14:paraId="0EFC2275" w14:textId="77777777" w:rsidR="00C61121" w:rsidRDefault="00891692" w:rsidP="00C61121">
      <w:pPr>
        <w:jc w:val="both"/>
        <w:rPr>
          <w:szCs w:val="18"/>
        </w:rPr>
      </w:pPr>
      <w:r w:rsidRPr="00891692">
        <w:rPr>
          <w:szCs w:val="18"/>
        </w:rPr>
        <w:t>Premierul a subliniat importanța sprijinului acordat de Statele Unite ale Americii din perspectiva accesului la tehnologie performantă în domeniul apărării, precum avioane multi-rol, sistemele Himars, Patriot sau bateriile anti-rachetă de la Marea Neagră. Ministerul Apărării Naționale și Ministerul Economiei conlucrează strâns pentru ca industria de apărare românească să aibă capacitatea gestionării cooperării cu partenerii trans-atlantici. În acest sens, creșterea bugetului apărării la 2,5 la sută din PIB, începând cu anul viitor, va oferi noi oportunități de finanțare industriei de profil.</w:t>
      </w:r>
    </w:p>
    <w:p w14:paraId="57EE0A41" w14:textId="77777777" w:rsidR="00C61121" w:rsidRDefault="00891692" w:rsidP="00C61121">
      <w:pPr>
        <w:jc w:val="both"/>
        <w:rPr>
          <w:szCs w:val="18"/>
        </w:rPr>
      </w:pPr>
      <w:r w:rsidRPr="00891692">
        <w:rPr>
          <w:szCs w:val="18"/>
        </w:rPr>
        <w:t>Compania Lockheed Martin este prezentă de 25 de ani în România, fiind implicată în mai multe proiecte care au un impact semnificativ în diverse domenii.</w:t>
      </w:r>
    </w:p>
    <w:p w14:paraId="31076C01" w14:textId="0BDF337A" w:rsidR="00891692" w:rsidRPr="00891692" w:rsidRDefault="00891692" w:rsidP="00C61121">
      <w:pPr>
        <w:jc w:val="both"/>
        <w:rPr>
          <w:szCs w:val="18"/>
        </w:rPr>
      </w:pPr>
      <w:r w:rsidRPr="00891692">
        <w:rPr>
          <w:szCs w:val="18"/>
        </w:rPr>
        <w:t>În contextul geo-politic actual, generat de relevanța strategică a Mării Negre și de nevoia întăririi rezilienței, inclusiv din perspectivă economică,  proiectele de dezvoltare vizează o colaborare de lungă durată, cu o abordare integrată a multiplelor platforme în care se colaborează la acest moment.</w:t>
      </w:r>
    </w:p>
    <w:p w14:paraId="56DAD057" w14:textId="69FDB659" w:rsidR="00891692" w:rsidRPr="00891692" w:rsidRDefault="00891692" w:rsidP="00891692">
      <w:pPr>
        <w:pStyle w:val="separatorarticole"/>
      </w:pPr>
      <w:r w:rsidRPr="00891692">
        <w:t>*</w:t>
      </w:r>
    </w:p>
    <w:p w14:paraId="1E785771" w14:textId="77777777" w:rsidR="00891692" w:rsidRPr="00891692" w:rsidRDefault="00891692" w:rsidP="00891692">
      <w:pPr>
        <w:pStyle w:val="TitluArticolinINFOUE"/>
      </w:pPr>
      <w:bookmarkStart w:id="121" w:name="_Toc104197254"/>
      <w:r w:rsidRPr="00891692">
        <w:t>Participarea premierului Nicolae-Ionel Ciucă la reuniunea Comitetului de monitorizare a Planului Național de Redresare și Reziliență al României</w:t>
      </w:r>
      <w:bookmarkEnd w:id="121"/>
    </w:p>
    <w:p w14:paraId="4B83C6D4" w14:textId="7B26AE58" w:rsidR="00891692" w:rsidRPr="00891692" w:rsidRDefault="00891692" w:rsidP="00C61121">
      <w:pPr>
        <w:jc w:val="both"/>
        <w:rPr>
          <w:szCs w:val="18"/>
        </w:rPr>
      </w:pPr>
      <w:r w:rsidRPr="00891692">
        <w:rPr>
          <w:noProof/>
          <w:szCs w:val="18"/>
          <w:lang w:eastAsia="ro-RO"/>
        </w:rPr>
        <w:drawing>
          <wp:anchor distT="0" distB="0" distL="114300" distR="114300" simplePos="0" relativeHeight="252093440" behindDoc="0" locked="0" layoutInCell="1" allowOverlap="1" wp14:anchorId="54D03CD9" wp14:editId="4F778E18">
            <wp:simplePos x="0" y="0"/>
            <wp:positionH relativeFrom="column">
              <wp:posOffset>2540</wp:posOffset>
            </wp:positionH>
            <wp:positionV relativeFrom="paragraph">
              <wp:posOffset>36195</wp:posOffset>
            </wp:positionV>
            <wp:extent cx="1657350" cy="1657350"/>
            <wp:effectExtent l="0" t="0" r="0" b="0"/>
            <wp:wrapSquare wrapText="bothSides"/>
            <wp:docPr id="15" name="Picture 15" descr="https://gov.ro/fisiere/comunicate/d_-lockheed_martin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v.ro/fisiere/comunicate/d_-lockheed_martin210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1692">
        <w:rPr>
          <w:szCs w:val="18"/>
        </w:rPr>
        <w:t>Prim-ministrul Nicolae-Ionel Ciucă a prezidat, astăzi, reuniunea de la Palatul Victoria a Comitetului de monitorizare a Planului Național de Redresare și Reziliență al României. Cu acest prilej, a fost analizată situația apelurilor de proiecte competitive necesare pentru investițiile prevăzute și aprobate în cadrul PNRR.</w:t>
      </w:r>
    </w:p>
    <w:p w14:paraId="196F98B2" w14:textId="77777777" w:rsidR="00891692" w:rsidRPr="00891692" w:rsidRDefault="00891692" w:rsidP="00C61121">
      <w:pPr>
        <w:jc w:val="both"/>
        <w:rPr>
          <w:szCs w:val="18"/>
        </w:rPr>
      </w:pPr>
      <w:r w:rsidRPr="00891692">
        <w:rPr>
          <w:szCs w:val="18"/>
        </w:rPr>
        <w:t>Prin activitatea de până acum, Guvernul a dovedit că și-a îndeplinit obiectivele pentru fiecare etapă a PNRR și o va face în continuare, a subliniat șeful Executivului.</w:t>
      </w:r>
    </w:p>
    <w:p w14:paraId="6941AACB" w14:textId="77777777" w:rsidR="00891692" w:rsidRPr="00891692" w:rsidRDefault="00891692" w:rsidP="00C61121">
      <w:pPr>
        <w:jc w:val="both"/>
        <w:rPr>
          <w:szCs w:val="18"/>
        </w:rPr>
      </w:pPr>
      <w:r w:rsidRPr="00891692">
        <w:rPr>
          <w:szCs w:val="18"/>
        </w:rPr>
        <w:t>În contextul în care, săptămâna trecută, Comisia Europeană a dat undă verde mai multor măsuri propuse de România pentru implementarea PNRR și a schemelor de ajutor de stat așteptate de IMM-uri, premierul Nicolae-Ionel Ciucă a solicitat instituțiilor care gestionează implementarea PNRR continuarea dialogului cu experții Comisiei Europene astfel încât România să poată accesa resursele puse la dispoziție în cadrul acestui Plan.</w:t>
      </w:r>
    </w:p>
    <w:p w14:paraId="17422E8D" w14:textId="77777777" w:rsidR="00891692" w:rsidRPr="00891692" w:rsidRDefault="00891692" w:rsidP="00C61121">
      <w:pPr>
        <w:jc w:val="both"/>
        <w:rPr>
          <w:szCs w:val="18"/>
        </w:rPr>
      </w:pPr>
      <w:r w:rsidRPr="00891692">
        <w:rPr>
          <w:szCs w:val="18"/>
        </w:rPr>
        <w:t>”Vrem să ne asigurăm că pașii pe care îi parcurgem sunt optimi pentru atingerea țintelor și jaloanelor asumate de România. Continuarea dialogului cu Comisia Europeană ne dă posibilitatea să clarificăm din timp toate acele elemente luate în considerare de experți la evaluarea apelurilor de proiecte finanțate prin PNRR. Timpul și ritmul în care acționăm acum sunt decisive pentru ca reformele și investițiile pe care România și le-a propus să se concretizeze cât mai repede în beneficiul românilor și economiei naționale”, a subliniat prim-ministrul Nicolae-Ionel Ciucă.</w:t>
      </w:r>
    </w:p>
    <w:p w14:paraId="7962FC20" w14:textId="77777777" w:rsidR="00A00A56" w:rsidRDefault="00891692" w:rsidP="00C61121">
      <w:pPr>
        <w:jc w:val="both"/>
        <w:rPr>
          <w:szCs w:val="18"/>
        </w:rPr>
      </w:pPr>
      <w:r w:rsidRPr="00891692">
        <w:rPr>
          <w:szCs w:val="18"/>
        </w:rPr>
        <w:lastRenderedPageBreak/>
        <w:t>În cadrul PNRR, în Decizia de punere în aplicare a Consiliului din 3 noiembrie 2021 de aprobare a evaluării planului de redresare și reziliență al României (CID), sunt prevăzute și aprobate investiții care includ 69 apeluri de proiecte competitive, cu o valoare totală de 13,462 mld EUR (reprezentând aprox. 47% din valoarea totală a PNRR), din care 28 au termen de lansare în primele două trimestre ale acestui an.</w:t>
      </w:r>
    </w:p>
    <w:p w14:paraId="610093EA" w14:textId="7D329E9E" w:rsidR="00891692" w:rsidRPr="00891692" w:rsidRDefault="00891692" w:rsidP="00C61121">
      <w:pPr>
        <w:jc w:val="both"/>
        <w:rPr>
          <w:szCs w:val="18"/>
        </w:rPr>
      </w:pPr>
      <w:r w:rsidRPr="00891692">
        <w:rPr>
          <w:szCs w:val="18"/>
        </w:rPr>
        <w:t>Până acum au fost identificate 20 de apeluri care includ scheme care trebuie notificate la Consiliul Concurenței, a rezultat din analiza datelor puse la dispoziție de ministere și celelalte instituții care gestionează implementarea PNRR. Dintre acestea, 8 au fost avizate sau sunt în curs de avizare la Consiliul Concurenței, iar restul de 12 se află în diverse stadii de elaborare. Este vorba despre proiecte de investiții care vizează pădurile și protecția biodiversității, managementul deșeurilor, eficiența energetică și  reziliența clădirilor, domeniul energiei, transformarea digitală, sprijin pentru mediul de afaceri și cercetare, dezvoltare și inovare, dezvoltarea infrastructurii pentru transportul verde, turismul, cultura și buna guvernanță.</w:t>
      </w:r>
    </w:p>
    <w:p w14:paraId="6E3756CA" w14:textId="77777777" w:rsidR="00891692" w:rsidRPr="00891692" w:rsidRDefault="00891692" w:rsidP="00C61121">
      <w:pPr>
        <w:jc w:val="both"/>
        <w:rPr>
          <w:szCs w:val="18"/>
        </w:rPr>
      </w:pPr>
      <w:r w:rsidRPr="00891692">
        <w:rPr>
          <w:szCs w:val="18"/>
        </w:rPr>
        <w:t>“Felicit Ministerul Dezvoltării, Lucrărilor Publice și Administrației pentru că azi, în primele trei ore de la lansarea proiectelor, a înregistrat deja cereri de finanțare pentru peste 800 de milioane de euro din bugetul total de 2,7 miliarde al Fondului Local, componentă a Planului Național de Redresare și Reziliență (PNRR). Procedurile transparente și buna organizare sunt necesare pentru a ne asigura că reușim să accesăm fiecare euro din cele 30 de miliarde”, a declarat prim-ministrul Nicolae-Ionel Ciucă.</w:t>
      </w:r>
    </w:p>
    <w:p w14:paraId="1FF08A7E" w14:textId="3A601CEE" w:rsidR="00891692" w:rsidRPr="00891692" w:rsidRDefault="00891692" w:rsidP="00891692">
      <w:pPr>
        <w:pStyle w:val="separatorarticole"/>
      </w:pPr>
      <w:r w:rsidRPr="00891692">
        <w:t>*</w:t>
      </w:r>
    </w:p>
    <w:p w14:paraId="55C64A65" w14:textId="77777777" w:rsidR="00891692" w:rsidRPr="00891692" w:rsidRDefault="00891692" w:rsidP="00891692">
      <w:pPr>
        <w:pStyle w:val="TitluArticolinINFOUE"/>
      </w:pPr>
      <w:bookmarkStart w:id="122" w:name="_Toc104197255"/>
      <w:r w:rsidRPr="00891692">
        <w:t>Mesajul premierului Nicolae-Ionel Ciucă în deschiderea conferinței Protecting Europe in Turbulent Times. Bucharest Leaders Summit: Enduring Power of Solidarity</w:t>
      </w:r>
      <w:bookmarkEnd w:id="122"/>
    </w:p>
    <w:p w14:paraId="12835662" w14:textId="77777777" w:rsidR="00891692" w:rsidRDefault="00891692" w:rsidP="00C61121">
      <w:pPr>
        <w:jc w:val="both"/>
        <w:rPr>
          <w:szCs w:val="18"/>
        </w:rPr>
      </w:pPr>
      <w:r w:rsidRPr="00891692">
        <w:rPr>
          <w:szCs w:val="18"/>
        </w:rPr>
        <w:t>Guvernul României a găzduit, astăzi, deschiderea oficială a seriei de conferințe Protecting Europe in Turbulent Times. Bucharest Leaders Summit: Enduring Power of Solidarity, organizate de Grupul de presă MediaUno, în parteneriat cu Institutul Național de Statistică, cu sprijinul Departamentului pentru Dezvoltare Durabilă.</w:t>
      </w:r>
    </w:p>
    <w:p w14:paraId="35ED6334" w14:textId="77777777" w:rsidR="00A00A56" w:rsidRDefault="00891692" w:rsidP="00C61121">
      <w:pPr>
        <w:jc w:val="both"/>
        <w:rPr>
          <w:szCs w:val="18"/>
        </w:rPr>
      </w:pPr>
      <w:r w:rsidRPr="00891692">
        <w:rPr>
          <w:szCs w:val="18"/>
        </w:rPr>
        <w:t>Prim-ministrul Nicolae-Ionel Ciucă a transmis un mesaj video în deschiderea conferinței, prilej cu care a subliniat:„Suferința războiului s-a apropiat de granițele României mai mult decât și-ar fi dorit cineva. România este un exemplu de solidaritate, recunoscut de partenerii occidentali, datorită implicării deosebite a societății civile în sprijinul refugiaților din Ucraina. Sunt convins că doar cu o astfel de atitudine putem construi o societate mai bună. Pentru că solidaritatea nu trebuie să se rezume la prezent, trebuie să dăm dovadă de solidaritate și față de generațiile viitoare. Toate dificultățile prin care trecem în aceste momente ne vor întări pe noi, ca națiune, dar și familia europeană din care facem parte, doar dacă rămânem solidari și dedicați principiilor umanismului, libertății și sustenabilității.”</w:t>
      </w:r>
    </w:p>
    <w:p w14:paraId="78185ACA" w14:textId="48C5B339" w:rsidR="00A00A56" w:rsidRDefault="00891692" w:rsidP="00C61121">
      <w:pPr>
        <w:jc w:val="both"/>
        <w:rPr>
          <w:szCs w:val="18"/>
        </w:rPr>
      </w:pPr>
      <w:r w:rsidRPr="00891692">
        <w:rPr>
          <w:szCs w:val="18"/>
        </w:rPr>
        <w:t xml:space="preserve">Mesajul integral transmis de premierul Ciucă poate fi consultat aici: </w:t>
      </w:r>
      <w:hyperlink r:id="rId15" w:history="1">
        <w:r w:rsidR="00A00A56" w:rsidRPr="005D37EC">
          <w:rPr>
            <w:rStyle w:val="Hyperlink"/>
          </w:rPr>
          <w:t>https://www.youtube.com/watch?v=36yJVhV0a9U</w:t>
        </w:r>
      </w:hyperlink>
    </w:p>
    <w:p w14:paraId="6FA33D2D" w14:textId="77777777" w:rsidR="00A00A56" w:rsidRDefault="00891692" w:rsidP="00C61121">
      <w:pPr>
        <w:jc w:val="both"/>
        <w:rPr>
          <w:szCs w:val="18"/>
        </w:rPr>
      </w:pPr>
      <w:r w:rsidRPr="00891692">
        <w:rPr>
          <w:szCs w:val="18"/>
        </w:rPr>
        <w:t>Consilierul de stat László Borbély, coordonatorul Departamentului pentru Dezvoltare Durabilă din cadrul Guvernului României, a vorbit despre oportunitățile de dezvoltare și necesitatea consolidării leadership-ului:</w:t>
      </w:r>
    </w:p>
    <w:p w14:paraId="270643E8" w14:textId="77777777" w:rsidR="00A00A56" w:rsidRDefault="00891692" w:rsidP="00C61121">
      <w:pPr>
        <w:jc w:val="both"/>
        <w:rPr>
          <w:szCs w:val="18"/>
        </w:rPr>
      </w:pPr>
      <w:r w:rsidRPr="00891692">
        <w:rPr>
          <w:szCs w:val="18"/>
        </w:rPr>
        <w:t>„În calitate de gazdă, vreau să spun că mă încântă numărul mare de speakeri care au dat curs invitației și faptul că au fost reprezentate astăzi la cel mai înalt nivel toate structurile societății. Mai ales în aceste vremuri turbulente este extrem de important ca leadership-ul României să se așeze la masa discuțiilor și, cu răbdare, să ia acele decizii de care avem nevoie pentru o dezvoltare durabilă. Departamentul pentru Dezvoltare Durabilă este un catalizator și ne alăturăm de fiecare dată inițiativelor care își propun să ofere acel spațiu de dialog de care societatea noastră are mare nevoie. Așa cum în materie de dezvoltare durabilă am demonstrat că putem fi un hub regional recunosct de comunitatea internațională, România are capacitățile și oportunitățile de a deveni lider regional în mai mule domenii, după cum am putut observa din intervențiile speakerilor”.</w:t>
      </w:r>
    </w:p>
    <w:p w14:paraId="6C95A1CB" w14:textId="77777777" w:rsidR="00A00A56" w:rsidRDefault="00891692" w:rsidP="00C61121">
      <w:pPr>
        <w:jc w:val="both"/>
        <w:rPr>
          <w:szCs w:val="18"/>
        </w:rPr>
      </w:pPr>
      <w:r w:rsidRPr="00891692">
        <w:rPr>
          <w:szCs w:val="18"/>
        </w:rPr>
        <w:t>Protecting Europe in Turbulent Times. Bucharest Leaders Summit: Enduring Power of Solidarity se desfășoară până pe 27 mai cu conferințe care vor avea loc aproape zilnic și care vor viza teme diverse, de mare interes, mai ales în condițiile războiului, printre care: energie, educație, sănătate, demografie, digitalizare, industrie și investiții. Întâlnirea de astăzi reprezintă a opta ediție din demersul inițiat de Grupul de Presă MediaUno în parteneriat cu Institutul Național de Statistică.</w:t>
      </w:r>
    </w:p>
    <w:p w14:paraId="71B7015A" w14:textId="42F83232" w:rsidR="00891692" w:rsidRPr="00891692" w:rsidRDefault="00891692" w:rsidP="00C61121">
      <w:pPr>
        <w:jc w:val="both"/>
        <w:rPr>
          <w:szCs w:val="18"/>
        </w:rPr>
      </w:pPr>
      <w:r w:rsidRPr="00891692">
        <w:rPr>
          <w:szCs w:val="18"/>
        </w:rPr>
        <w:lastRenderedPageBreak/>
        <w:t>În cadrul conferinței de deschidere au luat cuvântul sau au transmis mesaje personalități de la toate nivelurile de decizie: secretarul general adjunct al NATO Mircea Geoană; consilieri prezidențiali; comisari europeni; actuali și foști miniștri; președintele INS Tudorel Andrei; înalți prelați ai Biserii Ortodoxe din România; ambasadori; parlamentari și europarlamentari; lideri din structurile Armatei Române, dar și alți reprezentanți de seamă.</w:t>
      </w:r>
    </w:p>
    <w:p w14:paraId="24BE7A21" w14:textId="3189EA9C" w:rsidR="00891692" w:rsidRPr="00891692" w:rsidRDefault="00891692" w:rsidP="00A00A56">
      <w:pPr>
        <w:pStyle w:val="separatorarticole"/>
      </w:pPr>
      <w:r w:rsidRPr="00891692">
        <w:t>*</w:t>
      </w:r>
    </w:p>
    <w:p w14:paraId="03D30BC4" w14:textId="77777777" w:rsidR="00891692" w:rsidRPr="00891692" w:rsidRDefault="00891692" w:rsidP="00A00A56">
      <w:pPr>
        <w:pStyle w:val="TitluArticolinINFOUE"/>
        <w:rPr>
          <w:lang w:eastAsia="ro-RO"/>
        </w:rPr>
      </w:pPr>
      <w:bookmarkStart w:id="123" w:name="_Toc104197256"/>
      <w:r w:rsidRPr="00891692">
        <w:t>Întrevederea premierului Nicolae-Ionel Ciucă cu reprezentanții Asociației Profesionale a Ciobanilor</w:t>
      </w:r>
      <w:bookmarkEnd w:id="123"/>
    </w:p>
    <w:p w14:paraId="3AD1AA32" w14:textId="77777777" w:rsidR="00891692" w:rsidRPr="00891692" w:rsidRDefault="00891692" w:rsidP="00C61121">
      <w:pPr>
        <w:jc w:val="both"/>
        <w:rPr>
          <w:szCs w:val="18"/>
        </w:rPr>
      </w:pPr>
      <w:r w:rsidRPr="00891692">
        <w:rPr>
          <w:szCs w:val="18"/>
        </w:rPr>
        <w:t>Prim-ministrul Nicolae-Ionel Ciucă i-a primit, la Palatul Victoria, pe reprezentanții Asociației Profesionale a Ciobanilor.</w:t>
      </w:r>
    </w:p>
    <w:p w14:paraId="187B210D" w14:textId="77777777" w:rsidR="00891692" w:rsidRPr="00891692" w:rsidRDefault="00891692" w:rsidP="00C61121">
      <w:pPr>
        <w:jc w:val="both"/>
        <w:rPr>
          <w:szCs w:val="18"/>
        </w:rPr>
      </w:pPr>
      <w:r w:rsidRPr="00891692">
        <w:rPr>
          <w:szCs w:val="18"/>
        </w:rPr>
        <w:t>La întâlnire, alături de ministrul Agriculturii, Adrian Chesnoiu, au fost analizate oportunitățile generate de utilizarea fondurilor europene pentru crescătorii de ovine, precum și soluțiile necesare pentru dezvoltarea  acestui sector.</w:t>
      </w:r>
    </w:p>
    <w:p w14:paraId="46AF9DE1" w14:textId="77777777" w:rsidR="00891692" w:rsidRPr="00891692" w:rsidRDefault="00891692" w:rsidP="00C61121">
      <w:pPr>
        <w:jc w:val="both"/>
        <w:rPr>
          <w:szCs w:val="18"/>
        </w:rPr>
      </w:pPr>
      <w:r w:rsidRPr="00891692">
        <w:rPr>
          <w:szCs w:val="18"/>
        </w:rPr>
        <w:t>Premierul Ciucă a subliniat că agricultura este un domeniu prioritar la nivelul Executivului, mai ales în contextul în care securitatea alimentară a țării depinde, în mare măsură, de sprijinul acordat fermierilor de statul român, atât  prin intermediul fondurilor europene, cât și prin finanțările asigurate din bugetul național.</w:t>
      </w:r>
    </w:p>
    <w:p w14:paraId="5A489661" w14:textId="77777777" w:rsidR="00891692" w:rsidRPr="00891692" w:rsidRDefault="00891692" w:rsidP="00C61121">
      <w:pPr>
        <w:jc w:val="both"/>
        <w:rPr>
          <w:szCs w:val="18"/>
        </w:rPr>
      </w:pPr>
      <w:r w:rsidRPr="00891692">
        <w:rPr>
          <w:szCs w:val="18"/>
        </w:rPr>
        <w:t>Fermierii au prezentat provocările cu care se confruntă, precum  utilizarea pășunilor, procesarea produselor, genotiparea sau lipsa forței de muncă. La rândul său, premierul i-a asigurat de întreg sprijinul Guvernului față de producătorii de ovine, urmând ca, împreună cu ministrul Agriculturii, să fie identificate și implementate soluțiile necesare, în parteneriat cu instituțiile statului.</w:t>
      </w:r>
    </w:p>
    <w:p w14:paraId="422C1E0F" w14:textId="5D29131A" w:rsidR="00891692" w:rsidRPr="00891692" w:rsidRDefault="00891692" w:rsidP="00A00A56">
      <w:pPr>
        <w:pStyle w:val="separatorarticole"/>
      </w:pPr>
      <w:r w:rsidRPr="00891692">
        <w:t>*</w:t>
      </w:r>
    </w:p>
    <w:p w14:paraId="628D2921" w14:textId="46AA8453" w:rsidR="00891692" w:rsidRPr="00891692" w:rsidRDefault="00891692" w:rsidP="00A00A56">
      <w:pPr>
        <w:pStyle w:val="TitluArticolinINFOUE"/>
        <w:rPr>
          <w:lang w:eastAsia="ro-RO"/>
        </w:rPr>
      </w:pPr>
      <w:bookmarkStart w:id="124" w:name="_Toc104197257"/>
      <w:r w:rsidRPr="00891692">
        <w:t>Întrevederea premierului Nicolae-Ionel Ciucă cu reprezentanții Companiei Black Sea Oil &amp; Gas SA</w:t>
      </w:r>
      <w:bookmarkEnd w:id="124"/>
    </w:p>
    <w:p w14:paraId="44BFBC9A" w14:textId="77777777" w:rsidR="00891692" w:rsidRPr="00891692" w:rsidRDefault="00891692" w:rsidP="00C61121">
      <w:pPr>
        <w:jc w:val="both"/>
        <w:rPr>
          <w:szCs w:val="18"/>
        </w:rPr>
      </w:pPr>
      <w:r w:rsidRPr="00891692">
        <w:rPr>
          <w:szCs w:val="18"/>
        </w:rPr>
        <w:t>Premierul Nicolae-Ionel Ciucă s-a întâlnit, la Palatul Victoria, cu Eric Faillnet, director al Grupului Carlyle International Energy Partners,  principalul acționar al companiei Black Sea Oil&amp;Gas.</w:t>
      </w:r>
    </w:p>
    <w:p w14:paraId="0AB32ACD" w14:textId="77777777" w:rsidR="00891692" w:rsidRPr="00891692" w:rsidRDefault="00891692" w:rsidP="00C61121">
      <w:pPr>
        <w:jc w:val="both"/>
        <w:rPr>
          <w:szCs w:val="18"/>
        </w:rPr>
      </w:pPr>
      <w:r w:rsidRPr="00891692">
        <w:rPr>
          <w:szCs w:val="18"/>
        </w:rPr>
        <w:t>Cu această ocazie, prim-ministrul României a salutat interesul investitorilor față de începerea exploatării gazelor naturale la Marea Neagră, prin dezvoltarea Proiectului de la Midia, care va asigura, începând din acest an, zece la sută din producția necesară la nivel național.</w:t>
      </w:r>
    </w:p>
    <w:p w14:paraId="167DBF8F" w14:textId="77777777" w:rsidR="00891692" w:rsidRPr="00891692" w:rsidRDefault="00891692" w:rsidP="00C61121">
      <w:pPr>
        <w:jc w:val="both"/>
        <w:rPr>
          <w:szCs w:val="18"/>
        </w:rPr>
      </w:pPr>
      <w:r w:rsidRPr="00891692">
        <w:rPr>
          <w:rStyle w:val="Emphasis"/>
          <w:bdr w:val="none" w:sz="0" w:space="0" w:color="auto" w:frame="1"/>
        </w:rPr>
        <w:t>“Pentru români, demersul de obținere a independenței față de gazul rusesc este un obiectiv esențial. Guvernul încurajează investițiile în sectorul energetic, iar țara noastră se numără printre statele europene care își pot gestiona în bună măsură cantitatea de gaze naturale pentru consumul intern. Noua lege offshore, pe care am inițiat-o la nivelul Coaliției de guvernare și care va fi adoptată curând, creează un cadru predictibil și stabil investitorilor. Oferind un echilibru între interesele statului și cele ale mediului de privat, România are oportunitatea de a deveni chiar exportator în regiune, după dezvoltarea exploatărilor de gaze la Marea Neagră”</w:t>
      </w:r>
      <w:r w:rsidRPr="00891692">
        <w:rPr>
          <w:szCs w:val="18"/>
        </w:rPr>
        <w:t> a declarat premierul Ciucă.</w:t>
      </w:r>
    </w:p>
    <w:p w14:paraId="712A968E" w14:textId="77777777" w:rsidR="00891692" w:rsidRPr="00891692" w:rsidRDefault="00891692" w:rsidP="00C61121">
      <w:pPr>
        <w:jc w:val="both"/>
        <w:rPr>
          <w:szCs w:val="18"/>
        </w:rPr>
      </w:pPr>
      <w:r w:rsidRPr="00891692">
        <w:rPr>
          <w:szCs w:val="18"/>
        </w:rPr>
        <w:t>Reprezentanții companii Black Sea Oil&amp;Gas au anunțat că proiectul de la Midia este pregătit să demareze în luna iunie, după efectuarea ultimelor teste, având o capacitate de livrare de un miliard de metri cubi anual.</w:t>
      </w:r>
    </w:p>
    <w:p w14:paraId="034DDD22" w14:textId="4E77ADE4" w:rsidR="00891692" w:rsidRPr="00891692" w:rsidRDefault="00891692" w:rsidP="00A00A56">
      <w:pPr>
        <w:pStyle w:val="separatorarticole"/>
      </w:pPr>
      <w:r w:rsidRPr="00891692">
        <w:t>*</w:t>
      </w:r>
    </w:p>
    <w:p w14:paraId="213F4595" w14:textId="77777777" w:rsidR="00891692" w:rsidRPr="00891692" w:rsidRDefault="00891692" w:rsidP="00A00A56">
      <w:pPr>
        <w:pStyle w:val="TitluArticolinINFOUE"/>
        <w:rPr>
          <w:lang w:eastAsia="ro-RO"/>
        </w:rPr>
      </w:pPr>
      <w:bookmarkStart w:id="125" w:name="_Toc104197258"/>
      <w:r w:rsidRPr="00891692">
        <w:t>Întrevederea premierului Nicolae-Ionel Ciucă cu o delegație a membrilor Colegiului Regal de Studii de Apărare din Regatul Unit al Marii Britanii</w:t>
      </w:r>
      <w:bookmarkEnd w:id="125"/>
    </w:p>
    <w:p w14:paraId="7A3D0DA9" w14:textId="77777777" w:rsidR="00891692" w:rsidRPr="00891692" w:rsidRDefault="00891692" w:rsidP="00C61121">
      <w:pPr>
        <w:jc w:val="both"/>
        <w:rPr>
          <w:szCs w:val="18"/>
        </w:rPr>
      </w:pPr>
      <w:r w:rsidRPr="00891692">
        <w:rPr>
          <w:szCs w:val="18"/>
        </w:rPr>
        <w:t>Prim-ministrul Nicolae-Ionel Ciucă s-a întâlnit astăzi, la Palatul Victoria, cu o delegație formată din membrii Colegiului Regal de Studii de Apărare (Royal College of Defence Studies) din Marea Britanie.</w:t>
      </w:r>
    </w:p>
    <w:p w14:paraId="134207A8" w14:textId="77777777" w:rsidR="00891692" w:rsidRPr="00891692" w:rsidRDefault="00891692" w:rsidP="00C61121">
      <w:pPr>
        <w:jc w:val="both"/>
        <w:rPr>
          <w:szCs w:val="18"/>
        </w:rPr>
      </w:pPr>
      <w:r w:rsidRPr="00891692">
        <w:rPr>
          <w:szCs w:val="18"/>
        </w:rPr>
        <w:t>Delegația a inclus militari cu grad superior aparținând unor instituții de securitate și apărare din mai multe state, membri ai Programului de Strategie Globală, un curs care se concentrează pe teme de stabilitate și securitate la nivel înalt. </w:t>
      </w:r>
    </w:p>
    <w:p w14:paraId="672C63DD" w14:textId="77777777" w:rsidR="00891692" w:rsidRPr="00891692" w:rsidRDefault="00891692" w:rsidP="00C61121">
      <w:pPr>
        <w:jc w:val="both"/>
        <w:rPr>
          <w:szCs w:val="18"/>
        </w:rPr>
      </w:pPr>
      <w:r w:rsidRPr="00891692">
        <w:rPr>
          <w:szCs w:val="18"/>
        </w:rPr>
        <w:lastRenderedPageBreak/>
        <w:t>În cadrul discuțiilor, premierul a analizat situația de securitate la Marea Neagră și a avut un schimb de opinii pe tema efectelor generate de agresiunea militară rusă din Ucraina, cu accent pe solidaritatea manifestată de aliați și pe eforturile țării noastre de a gestiona consecințele creșterii prețurilor la energie și gaze naturale, inclusiv prin urmărirea atingerii obiectivului de a obține independența energetică.</w:t>
      </w:r>
    </w:p>
    <w:p w14:paraId="2CFFF917" w14:textId="77777777" w:rsidR="00891692" w:rsidRPr="00891692" w:rsidRDefault="00891692" w:rsidP="00C61121">
      <w:pPr>
        <w:jc w:val="both"/>
        <w:rPr>
          <w:szCs w:val="18"/>
        </w:rPr>
      </w:pPr>
      <w:r w:rsidRPr="00891692">
        <w:rPr>
          <w:szCs w:val="18"/>
        </w:rPr>
        <w:t> Prim-ministrul Ciucă a prezentat situația geostrategică din regiune, strategiile și instrumentarul României în domeniul securității naționale, dar și modul de gestionare a situației din Ucraina și acțiunile întreprinse de Guvernul României în sprijinul refugiaților.</w:t>
      </w:r>
    </w:p>
    <w:p w14:paraId="7303BF18" w14:textId="77777777" w:rsidR="00891692" w:rsidRPr="00891692" w:rsidRDefault="00891692" w:rsidP="00C61121">
      <w:pPr>
        <w:jc w:val="both"/>
        <w:rPr>
          <w:szCs w:val="18"/>
        </w:rPr>
      </w:pPr>
      <w:r w:rsidRPr="00891692">
        <w:rPr>
          <w:szCs w:val="18"/>
        </w:rPr>
        <w:t>De asemenea, premierul Nicolae-Ionel Ciucă a subliniat faptul că România, încă de la momentul ocupării ilegale a Peninsulei Crimeea, în 2014, și până la agresiunea pe scară largă din zilele noastre, a susținut ferm independența, suveranitatea și integritatea teritorială a Ucrainei, cu referire la granițele Ucrainei recunoscute la nivel internațional.</w:t>
      </w:r>
    </w:p>
    <w:p w14:paraId="71C6F074" w14:textId="77777777" w:rsidR="00891692" w:rsidRPr="00891692" w:rsidRDefault="00891692" w:rsidP="00C61121">
      <w:pPr>
        <w:jc w:val="both"/>
        <w:rPr>
          <w:szCs w:val="18"/>
        </w:rPr>
      </w:pPr>
      <w:r w:rsidRPr="00891692">
        <w:rPr>
          <w:rStyle w:val="Emphasis"/>
          <w:bdr w:val="none" w:sz="0" w:space="0" w:color="auto" w:frame="1"/>
        </w:rPr>
        <w:t>“Umbrela de securitate oferită de NATO a determinat, în contextul solidarității aliaților, o reliefare a importanței celei mai puternice construcții politico-militare, context în care România continuă să înțeleagă și să susțină importanța procesului de extindere, ca și în cazul Uniunii Europene. Pentru România, care fructifică statutul de țară membră a UE și NATO, modernizarea, digitalizarea, debirocratizarea și pregătirea funcționarilor sunt esențiale pentru a asigura o creștere economică sustenabilă. Ne aflăm într-un moment complicat, dar care confirmă traseul corect al deciziilor guvernamentale, prin plasarea recentă a României în topul creșterii economice la nivel european”</w:t>
      </w:r>
      <w:r w:rsidRPr="00891692">
        <w:rPr>
          <w:szCs w:val="18"/>
        </w:rPr>
        <w:t>, a afirmat premierul Nicolae-Ionel Ciucă.</w:t>
      </w:r>
    </w:p>
    <w:p w14:paraId="7A2B8352" w14:textId="77777777" w:rsidR="00E4635C" w:rsidRDefault="00E4635C" w:rsidP="00E4635C">
      <w:pPr>
        <w:pStyle w:val="separatorarticole"/>
      </w:pPr>
      <w:r>
        <w:t>*</w:t>
      </w:r>
    </w:p>
    <w:p w14:paraId="305B3FF3" w14:textId="77777777" w:rsidR="00E4635C" w:rsidRPr="00E4635C" w:rsidRDefault="00E4635C" w:rsidP="00E4635C">
      <w:pPr>
        <w:pStyle w:val="TitluArticolinINFOUE"/>
        <w:rPr>
          <w:lang w:eastAsia="ro-RO"/>
        </w:rPr>
      </w:pPr>
      <w:bookmarkStart w:id="126" w:name="_Toc104197259"/>
      <w:r w:rsidRPr="00E4635C">
        <w:t>Guvernul României înregistrează primele rezultate ale implementării Strategiei naționale pentru prevenirea și combaterea antisemitismului, xenofobiei, radicalizării și discursului instigator la ură, aferentă perioadei 2021-2023</w:t>
      </w:r>
      <w:bookmarkEnd w:id="126"/>
    </w:p>
    <w:p w14:paraId="2173045E"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În contextul marcării primului an de la adoptarea Strategiei naționale pentru prevenirea și combaterea antisemitismului, xenofobiei, radicalizării și discursului instigator la ură, Guvernul României publică Raportul anual cu privire la progresul înregistrat în implementarea Strategiei naționale.</w:t>
      </w:r>
    </w:p>
    <w:p w14:paraId="547B48DD"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Din momentul operaționalizării Comitetului interministerial pentru monitorizarea implementării Strategiei naționale, în luna martie 2022, și până în prezent, au avut loc 2 reuniuni plenare ale comitetului și 7 întâlniri bilaterale cu reprezentanții ministerelor și instituțiilor care coordonează acțiuni incluse în Planul aferent Strategiei naționale, obiectivul prioritar fiind analiza procesului de implementare.</w:t>
      </w:r>
    </w:p>
    <w:p w14:paraId="18A72167"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În perioada supusă evaluării, s-au înregistrat progrese semnificative în ceea ce privește:</w:t>
      </w:r>
    </w:p>
    <w:p w14:paraId="5EB91B19"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 Dezvoltarea capabilităților instituționale necesare pentru prevenirea și combaterea antisemitismului, xenofobiei, radicalizării și discursului instigator la ură;</w:t>
      </w:r>
    </w:p>
    <w:p w14:paraId="7E516E23"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  Elaborarea unor proceduri de lucru și fluxuri informaționale noi;</w:t>
      </w:r>
    </w:p>
    <w:p w14:paraId="14FB2FAD"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 Crearea și operaționalizarea unor formate noi de lucru, atât în interiorul instituțiilor implicate, cât și interinstituționale;</w:t>
      </w:r>
    </w:p>
    <w:p w14:paraId="0360B62D"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 Dezvoltarea unor metodologii de identificare, raportare și evaluare mai eficiente a incidentelor și tendințelor;</w:t>
      </w:r>
    </w:p>
    <w:p w14:paraId="303983E9"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  Creșterea profilului României în procesul de elaborare și adoptare a unor instrumente politice și juridice internaționale;</w:t>
      </w:r>
    </w:p>
    <w:p w14:paraId="298657E4"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Progrese mai puțin substanțiale au fost înregistrate în domeniul educațional și al pregătirii profesionale, dificultățile fiind generate, parțial, de contextul pandemic care a dominat anul 2021.</w:t>
      </w:r>
    </w:p>
    <w:p w14:paraId="21E67BEE"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Planul de Acțiune al Strategiei naționale pentru prevenirea și combaterea antisemitismului, xenofobiei, radicalizării și discursului instigator la ură include 36 de acțiuni principale, iar în urma analizei procesului de implementare, au rezultat următoarele:</w:t>
      </w:r>
    </w:p>
    <w:p w14:paraId="222D127C" w14:textId="77777777" w:rsidR="00E4635C" w:rsidRPr="00E4635C" w:rsidRDefault="00E4635C" w:rsidP="00C61121">
      <w:pPr>
        <w:pStyle w:val="NormalWeb"/>
        <w:spacing w:before="40" w:beforeAutospacing="0" w:after="0" w:afterAutospacing="0"/>
        <w:jc w:val="both"/>
        <w:textAlignment w:val="baseline"/>
        <w:rPr>
          <w:rFonts w:ascii="Verdana" w:hAnsi="Verdana"/>
          <w:sz w:val="18"/>
          <w:szCs w:val="18"/>
        </w:rPr>
      </w:pPr>
      <w:r w:rsidRPr="00E4635C">
        <w:rPr>
          <w:rFonts w:ascii="Verdana" w:hAnsi="Verdana"/>
          <w:sz w:val="18"/>
          <w:szCs w:val="18"/>
        </w:rPr>
        <w:t>-     2 acțiuni principale au fost finalizate cu succes la termenul prevăzut;</w:t>
      </w:r>
    </w:p>
    <w:p w14:paraId="362ADB4A" w14:textId="77777777" w:rsidR="00E4635C" w:rsidRPr="00E4635C" w:rsidRDefault="00E4635C" w:rsidP="00C61121">
      <w:pPr>
        <w:pStyle w:val="NormalWeb"/>
        <w:spacing w:before="40" w:beforeAutospacing="0" w:after="0" w:afterAutospacing="0"/>
        <w:jc w:val="both"/>
        <w:textAlignment w:val="baseline"/>
        <w:rPr>
          <w:rFonts w:ascii="Verdana" w:hAnsi="Verdana"/>
          <w:sz w:val="18"/>
          <w:szCs w:val="18"/>
        </w:rPr>
      </w:pPr>
      <w:r w:rsidRPr="00E4635C">
        <w:rPr>
          <w:rFonts w:ascii="Verdana" w:hAnsi="Verdana"/>
          <w:sz w:val="18"/>
          <w:szCs w:val="18"/>
        </w:rPr>
        <w:t>-    2 acțiuni principale au fost finalizate cu succes, dar după termenul estimat inițial;</w:t>
      </w:r>
    </w:p>
    <w:p w14:paraId="252B8139" w14:textId="77777777" w:rsidR="00E4635C" w:rsidRPr="00E4635C" w:rsidRDefault="00E4635C" w:rsidP="00C61121">
      <w:pPr>
        <w:pStyle w:val="NormalWeb"/>
        <w:spacing w:before="40" w:beforeAutospacing="0" w:after="0" w:afterAutospacing="0"/>
        <w:jc w:val="both"/>
        <w:textAlignment w:val="baseline"/>
        <w:rPr>
          <w:rFonts w:ascii="Verdana" w:hAnsi="Verdana"/>
          <w:sz w:val="18"/>
          <w:szCs w:val="18"/>
        </w:rPr>
      </w:pPr>
      <w:r w:rsidRPr="00E4635C">
        <w:rPr>
          <w:rFonts w:ascii="Verdana" w:hAnsi="Verdana"/>
          <w:sz w:val="18"/>
          <w:szCs w:val="18"/>
        </w:rPr>
        <w:t>-   12 acțiuni principale se derulează la parametrii calitativi doriți;</w:t>
      </w:r>
    </w:p>
    <w:p w14:paraId="11092B4C" w14:textId="77777777" w:rsidR="00E4635C" w:rsidRPr="00E4635C" w:rsidRDefault="00E4635C" w:rsidP="00C61121">
      <w:pPr>
        <w:pStyle w:val="NormalWeb"/>
        <w:spacing w:before="40" w:beforeAutospacing="0" w:after="0" w:afterAutospacing="0"/>
        <w:jc w:val="both"/>
        <w:textAlignment w:val="baseline"/>
        <w:rPr>
          <w:rFonts w:ascii="Verdana" w:hAnsi="Verdana"/>
          <w:sz w:val="18"/>
          <w:szCs w:val="18"/>
        </w:rPr>
      </w:pPr>
      <w:r w:rsidRPr="00E4635C">
        <w:rPr>
          <w:rFonts w:ascii="Verdana" w:hAnsi="Verdana"/>
          <w:sz w:val="18"/>
          <w:szCs w:val="18"/>
        </w:rPr>
        <w:t>-    6 acțiuni principale au fost parțial implementate;</w:t>
      </w:r>
    </w:p>
    <w:p w14:paraId="27CEAFF1" w14:textId="77777777" w:rsidR="00E4635C" w:rsidRPr="00E4635C" w:rsidRDefault="00E4635C" w:rsidP="00C61121">
      <w:pPr>
        <w:pStyle w:val="NormalWeb"/>
        <w:spacing w:before="40" w:beforeAutospacing="0" w:after="0" w:afterAutospacing="0"/>
        <w:jc w:val="both"/>
        <w:textAlignment w:val="baseline"/>
        <w:rPr>
          <w:rFonts w:ascii="Verdana" w:hAnsi="Verdana"/>
          <w:sz w:val="18"/>
          <w:szCs w:val="18"/>
        </w:rPr>
      </w:pPr>
      <w:r w:rsidRPr="00E4635C">
        <w:rPr>
          <w:rFonts w:ascii="Verdana" w:hAnsi="Verdana"/>
          <w:sz w:val="18"/>
          <w:szCs w:val="18"/>
        </w:rPr>
        <w:t>-     6 acțiuni principale se află la debut;</w:t>
      </w:r>
    </w:p>
    <w:p w14:paraId="3F408645" w14:textId="77777777" w:rsidR="00E4635C" w:rsidRPr="00E4635C" w:rsidRDefault="00E4635C" w:rsidP="00C61121">
      <w:pPr>
        <w:pStyle w:val="NormalWeb"/>
        <w:spacing w:before="40" w:beforeAutospacing="0" w:after="0" w:afterAutospacing="0"/>
        <w:jc w:val="both"/>
        <w:textAlignment w:val="baseline"/>
        <w:rPr>
          <w:rFonts w:ascii="Verdana" w:hAnsi="Verdana"/>
          <w:sz w:val="18"/>
          <w:szCs w:val="18"/>
        </w:rPr>
      </w:pPr>
      <w:r w:rsidRPr="00E4635C">
        <w:rPr>
          <w:rFonts w:ascii="Verdana" w:hAnsi="Verdana"/>
          <w:sz w:val="18"/>
          <w:szCs w:val="18"/>
        </w:rPr>
        <w:lastRenderedPageBreak/>
        <w:t>-    8 acțiuni principale urmează a fi demarate.</w:t>
      </w:r>
    </w:p>
    <w:p w14:paraId="296BD71D"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În cel de-al doilea an de implementare a Strategiei naționale, sunt prioritare recuperarea întârzierilor înregistrate, precum și îndeplinirea următoarelor etape ale acțiunilor principale, care presupun activități practice și măsurabile.</w:t>
      </w:r>
    </w:p>
    <w:p w14:paraId="7345AA8E" w14:textId="52B07E60" w:rsid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Raportul complet poate fi consultat aici:  </w:t>
      </w:r>
      <w:hyperlink r:id="rId16" w:history="1">
        <w:r w:rsidRPr="00D80B89">
          <w:rPr>
            <w:rStyle w:val="Hyperlink"/>
            <w:bdr w:val="none" w:sz="0" w:space="0" w:color="auto" w:frame="1"/>
          </w:rPr>
          <w:t>https://gov.ro/ro/obiective/strategii-politici-programe/raportul-anual-cu-privire-la-progresul-inregistrat-in-implementarea-strategiei-nationale-pentru-prevenirea-i-combaterea-antisemitismului-xenofobiei-radicalizarii-i-discursului-instigator-la-ura-aferenta-perioadei-2021-2023&amp;page=</w:t>
        </w:r>
        <w:r w:rsidRPr="00D80B89">
          <w:rPr>
            <w:rStyle w:val="Hyperlink"/>
            <w:lang w:val="en-US"/>
          </w:rPr>
          <w:t>1</w:t>
        </w:r>
      </w:hyperlink>
    </w:p>
    <w:p w14:paraId="2DA5410C" w14:textId="52AD11BB"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Style w:val="Strong"/>
          <w:bdr w:val="none" w:sz="0" w:space="0" w:color="auto" w:frame="1"/>
        </w:rPr>
        <w:t>Informații suplimentare:</w:t>
      </w:r>
    </w:p>
    <w:p w14:paraId="37BD23BB" w14:textId="77777777" w:rsidR="00E4635C" w:rsidRPr="00E4635C" w:rsidRDefault="00E4635C" w:rsidP="00C61121">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Prima Strategie națională pentru prevenirea și combaterea antisemitismului, xenofobiei, radicalizării și discursului instigator la ură, aferentă perioadei 2021-2023 și Planul de Acțiune aferent au fost adoptate de Guvernul României prin Hotărârea nr. 539 din 13 mai 2021, publicată în Monitorul Oficial, Partea I, nr. 517 din 19 mai 2021. În data de 28 februarie 2022, a fost înființat, prin Decizia Prim-Ministrului nr. 173/28.02.2022, Comitetul interministerial pentru monitorizarea implementării Strategiei naționale pentru prevenirea și combaterea antisemitismului, xenofobiei, radicalizării și discursului instigator la ură, aferentă perioadei 2021-2023, iar în data de 10 martie 2022, prin Decizia Prim-Ministrului nr. 200/10.03.2022, un secretar de stat din cadrul Cancelariei Prim-Ministrului a fost numit în funcția de coordonator al acestui Comitet interministerial.</w:t>
      </w:r>
    </w:p>
    <w:p w14:paraId="7B029A12" w14:textId="3CBDD9E8" w:rsidR="00E4635C" w:rsidRPr="00E4635C" w:rsidRDefault="00E4635C" w:rsidP="00E4635C">
      <w:pPr>
        <w:pStyle w:val="separatorarticole"/>
      </w:pPr>
      <w:r w:rsidRPr="00E4635C">
        <w:t>*</w:t>
      </w:r>
    </w:p>
    <w:p w14:paraId="5014079F" w14:textId="77777777" w:rsidR="00E4635C" w:rsidRPr="00E4635C" w:rsidRDefault="00E4635C" w:rsidP="00E4635C">
      <w:pPr>
        <w:pStyle w:val="TitluArticolinINFOUE"/>
        <w:rPr>
          <w:lang w:eastAsia="ro-RO"/>
        </w:rPr>
      </w:pPr>
      <w:bookmarkStart w:id="127" w:name="_Toc104197260"/>
      <w:r w:rsidRPr="00E4635C">
        <w:t>Vizita premierului Nicolae-Ionel Ciucă la S.C. Farmec S.A., în Cluj-Napoca</w:t>
      </w:r>
      <w:bookmarkEnd w:id="127"/>
    </w:p>
    <w:p w14:paraId="2E63A798" w14:textId="77777777" w:rsidR="00E4635C" w:rsidRPr="00E4635C" w:rsidRDefault="00E4635C" w:rsidP="00E4635C">
      <w:pPr>
        <w:pStyle w:val="NormalWeb"/>
        <w:spacing w:before="120" w:beforeAutospacing="0" w:after="0" w:afterAutospacing="0"/>
        <w:jc w:val="center"/>
        <w:textAlignment w:val="baseline"/>
        <w:rPr>
          <w:rFonts w:ascii="Verdana" w:hAnsi="Verdana"/>
          <w:sz w:val="18"/>
          <w:szCs w:val="18"/>
        </w:rPr>
      </w:pPr>
      <w:r w:rsidRPr="00E4635C">
        <w:rPr>
          <w:rStyle w:val="Strong"/>
          <w:bdr w:val="none" w:sz="0" w:space="0" w:color="auto" w:frame="1"/>
        </w:rPr>
        <w:t>Prim-ministrul Ciucă: Cercetarea, adaptabilitatea și dezvoltarea de noi produse sunt căi sigure pentru o afacere de viitor</w:t>
      </w:r>
    </w:p>
    <w:p w14:paraId="3A9977A3"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Premierul Nicolae-Ionel Ciucă a vizitat astăzi, în cadrul deplasării pe care o efectuează în județul Cluj, societatea Farmec SA din Cluj-Napoca, cel mai mare producător de produse cosmetice cu capital 100% românesc.</w:t>
      </w:r>
    </w:p>
    <w:p w14:paraId="39CE8494"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Cu o istorie de peste 130 de ani, Farmec a pus bazele industriei cosmetice moderne din România și se menține în ultimii ani în poziția de lider de piață pe segmente importante, obținând numeroase distincții cu produsele sale.</w:t>
      </w:r>
    </w:p>
    <w:p w14:paraId="0AF6931D"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Discuțiile pe care premierul Ciucă le-a purtat cu managementul companiei s-au referit la strategia de dezvoltare pe termen lung, axată pe investiții și dezvoltarea de noi produse, menite să o păstreze în poziții de top pe o piață concurențială deosebit de puternică. Astfel, pe lângă brandurile cu istorie aflate în portofoliu, cum ar fi Farmec, Gerovital, Aslavital, societatea clujeană dezvoltă continuu noi produse cu ingrediente inovatoare și are relaţii de colaborare cu instituţii, universităţi şi laboratoare naționale și internaționale pentru cercetări şi pentru obţinerea de acreditări.</w:t>
      </w:r>
    </w:p>
    <w:p w14:paraId="3C78A212"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„Societatea cu tradiție și recunoaștere pe piața internațională, Farmec s-a dezvoltat continuu și a mizat pe cercetare, iar rezultatele au fost pe măsură. Brandurile produse aici sunt extrem de cunoscute de toți românii, dar sunt foarte căutate și în străinătate”, a spus primul-ministru.</w:t>
      </w:r>
    </w:p>
    <w:p w14:paraId="538EBF6D"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Șeful Executivului a apreciat faptul că societatea Farmec a fost printre primele companii din România care au produs încă de la începutul pandemiei produse igienizante şi dezinfectante, arătând că este un exemplu de adaptabilitate, de afacere condusă cu atenție la cerințele pieței și ale consumatorilor.</w:t>
      </w:r>
      <w:r>
        <w:rPr>
          <w:rFonts w:ascii="Verdana" w:hAnsi="Verdana"/>
          <w:sz w:val="18"/>
          <w:szCs w:val="18"/>
        </w:rPr>
        <w:t>â</w:t>
      </w:r>
    </w:p>
    <w:p w14:paraId="367899AE"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De asemenea, compania Farmec susține formarea profesională a elevilor în programul de învățământ dual la Colegiul Tehnic Ana Aslan, prin acordarea de burse și locuri de practică, exemplu de bună practică pentru o afacere care privește continuu spre viitor.</w:t>
      </w:r>
    </w:p>
    <w:p w14:paraId="56984254" w14:textId="309C25B6"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Premierul Nicolae Ionel-Ciucă a amintit că Guvernul și-a asumat susținerea mediului de afaceri prin programul „Sprijin pentru România”, recent adoptat, dar există și alte programe guvernamentale, unele focusate chiar pe susținerea exportului, cum este Programul de Promovare a Exportului, derulat la nivelul Ministerului Antreprenoriatului și Turismului.</w:t>
      </w:r>
    </w:p>
    <w:p w14:paraId="0DEF9F45" w14:textId="2177384B" w:rsidR="00E4635C" w:rsidRPr="00E4635C" w:rsidRDefault="00E4635C" w:rsidP="00E4635C">
      <w:pPr>
        <w:pStyle w:val="separatorarticole"/>
      </w:pPr>
      <w:r w:rsidRPr="00E4635C">
        <w:t>*</w:t>
      </w:r>
    </w:p>
    <w:p w14:paraId="34F7CBDD" w14:textId="77777777" w:rsidR="00E4635C" w:rsidRPr="00E4635C" w:rsidRDefault="00E4635C" w:rsidP="00E4635C">
      <w:pPr>
        <w:pStyle w:val="TitluArticolinINFOUE"/>
        <w:rPr>
          <w:lang w:eastAsia="ro-RO"/>
        </w:rPr>
      </w:pPr>
      <w:bookmarkStart w:id="128" w:name="_Toc104197261"/>
      <w:r w:rsidRPr="00E4635C">
        <w:lastRenderedPageBreak/>
        <w:t>Vizita premierului Nicolae-Ionel Ciucă la S.C. Terapia S.A., în Cluj-Napoca</w:t>
      </w:r>
      <w:bookmarkEnd w:id="128"/>
    </w:p>
    <w:p w14:paraId="45E047E4" w14:textId="715F8351" w:rsidR="00E4635C" w:rsidRPr="00E4635C" w:rsidRDefault="00E4635C" w:rsidP="00E4635C">
      <w:pPr>
        <w:pStyle w:val="NormalWeb"/>
        <w:spacing w:before="120" w:beforeAutospacing="0" w:after="0" w:afterAutospacing="0"/>
        <w:jc w:val="center"/>
        <w:textAlignment w:val="baseline"/>
        <w:rPr>
          <w:rFonts w:ascii="Verdana" w:hAnsi="Verdana"/>
          <w:sz w:val="18"/>
          <w:szCs w:val="18"/>
        </w:rPr>
      </w:pPr>
      <w:r w:rsidRPr="00E4635C">
        <w:rPr>
          <w:rStyle w:val="Strong"/>
          <w:bdr w:val="none" w:sz="0" w:space="0" w:color="auto" w:frame="1"/>
        </w:rPr>
        <w:t>Premierul Ciucă: Compania Terapia Cluj-Napoca dovedește că cercetarea are viitor în societatea românească</w:t>
      </w:r>
    </w:p>
    <w:p w14:paraId="783DB036"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Primul-ministru Nicolae–Ionel Ciucă a vizitat astăzi societatea Terapia din Cluj-Napoca, cea mai mare companie de medicamente generice și produse fără rețetă (OTC) din România, cu o tradiție de peste 100 de ani.</w:t>
      </w:r>
    </w:p>
    <w:p w14:paraId="7D75FC81"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Premierul Ciucă a discutat cu managementul companiei despre rezultatele obținute prin eforturile specialiștilor și lucrătorilor care-și desfășoară activitatea în această societate, concretizate în produse accesibile pentru piața internă și medicamente noi care au intrat pe piață.</w:t>
      </w:r>
    </w:p>
    <w:p w14:paraId="08D0A3D1"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„Îmi face mare plăcere să vizitez una din companiile de elită ale României, cunoscută și apreciată de toți românii. Este un bun exemplu că cercetarea de top își găsește loc și are viitor în societatea românească, că investițiile serioase și pe termen lung aduc beneficii oamenilor, comunității locale și societății în ansamblu”, a declarat șeful Executivului.</w:t>
      </w:r>
    </w:p>
    <w:p w14:paraId="3CCB2306"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Conducerea Terapia a prezentat planurile de investiții, care vor continua în perioada următoare, deși provocările cu care se confruntă sunt acutizate de crizele apărute post-pandemie, de lipsa forței de muncă calificate, de creșterea prețurilor la materii prime și la utilități.</w:t>
      </w:r>
    </w:p>
    <w:p w14:paraId="4832BD3C" w14:textId="499CFB1A"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„Vreau să știți că aveți în guvern un partener. Pandemia COVID-19 a arătat cât este de important accesul tuturor cetățenilor la tratament. Avem tot interesul să asigurăm condițiile pentru a continua să vă dezvoltați, să garantați locuri de muncă specialiștilor, să continuați cercetările și să produceți medicamente de calitate și accesibile pentru români”, a mai spus premierul Ciucă.</w:t>
      </w:r>
    </w:p>
    <w:p w14:paraId="2659F328"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Informații suplimentare:</w:t>
      </w:r>
    </w:p>
    <w:p w14:paraId="00A34836" w14:textId="77777777"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Societatea Terapia a fost înființată în 1921, iar în 1999 a fost prima companie farmaceutică care a primit Bună Practică de Laborator (BPL) eliberată de Agenția Națională a Medicamentului.  </w:t>
      </w:r>
      <w:r w:rsidRPr="00E4635C">
        <w:rPr>
          <w:rFonts w:ascii="Verdana" w:hAnsi="Verdana"/>
          <w:sz w:val="18"/>
          <w:szCs w:val="18"/>
        </w:rPr>
        <w:br/>
        <w:t>Departamentul de Farmacologie Clinică şi Farmacocinetică din cadrul Terapia a fost înființat în anul 2002, fiind primul Centru de Studii Clinice de Bioechivalență deținut de un producător de medicamente din România. Încă de la începuturile sale, principalul rol al departamentului a fost acela de a servi drept centru dedicat desfășurării studiilor de bioechivalență şi biodisponibilitate, conform standardelor internaționale de reglementare în domeniu.</w:t>
      </w:r>
    </w:p>
    <w:p w14:paraId="5D92849B" w14:textId="4A302782"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În anul 2012, Centrul de Studii Clinice de Bioechivalență și-a schimbat denumirea, devenind Centrul de Farmacologie Clinică și Farmacocinetică Terapia. Departamentul este structurat în două compartimente distincte: Unitatea Clinică şi Laboratorul Bioanalitic și are în prezent peste 850 de angajați.</w:t>
      </w:r>
      <w:r w:rsidRPr="00E4635C">
        <w:rPr>
          <w:rFonts w:ascii="Verdana" w:hAnsi="Verdana"/>
          <w:sz w:val="18"/>
          <w:szCs w:val="18"/>
        </w:rPr>
        <w:br/>
        <w:t>Departamentul de Farmacologie Clinică şi Farmacocinetică Terapia desfășoară studii pentru medicamentele generice dezvoltate în India şi destinate diferitelor piețe farmaceutice din Uniunea Europeană, Brazilia, Australia şi Statele Unite ale Americii.</w:t>
      </w:r>
    </w:p>
    <w:p w14:paraId="0F288B5D" w14:textId="39A507FA" w:rsidR="00E4635C" w:rsidRPr="00E4635C" w:rsidRDefault="00E4635C" w:rsidP="00E4635C">
      <w:pPr>
        <w:pStyle w:val="separatorarticole"/>
      </w:pPr>
      <w:r w:rsidRPr="00E4635C">
        <w:t>*</w:t>
      </w:r>
    </w:p>
    <w:p w14:paraId="78BD5E9A" w14:textId="77777777" w:rsidR="00E4635C" w:rsidRPr="00E4635C" w:rsidRDefault="00E4635C" w:rsidP="00E4635C">
      <w:pPr>
        <w:pStyle w:val="TitluArticolinINFOUE"/>
        <w:rPr>
          <w:lang w:eastAsia="ro-RO"/>
        </w:rPr>
      </w:pPr>
      <w:bookmarkStart w:id="129" w:name="_Toc104197262"/>
      <w:r w:rsidRPr="00E4635C">
        <w:t>Vizita premierului Nicolae-Ionel Ciucă la Fabrica Bosch, în județul Cluj</w:t>
      </w:r>
      <w:bookmarkEnd w:id="129"/>
    </w:p>
    <w:p w14:paraId="2448457D" w14:textId="77777777" w:rsidR="00E4635C" w:rsidRPr="00E4635C" w:rsidRDefault="00E4635C" w:rsidP="00E4635C">
      <w:pPr>
        <w:pStyle w:val="NormalWeb"/>
        <w:spacing w:before="120" w:beforeAutospacing="0" w:after="0" w:afterAutospacing="0"/>
        <w:jc w:val="center"/>
        <w:textAlignment w:val="baseline"/>
        <w:rPr>
          <w:rFonts w:ascii="Verdana" w:hAnsi="Verdana"/>
          <w:sz w:val="18"/>
          <w:szCs w:val="18"/>
        </w:rPr>
      </w:pPr>
      <w:r w:rsidRPr="00E4635C">
        <w:rPr>
          <w:rStyle w:val="Strong"/>
          <w:bdr w:val="none" w:sz="0" w:space="0" w:color="auto" w:frame="1"/>
        </w:rPr>
        <w:t>Premierul Ciucă: Companiile în continuă extindere reprezintă poli de dezvoltare pentru regiunile în care își desfășoară activitatea</w:t>
      </w:r>
    </w:p>
    <w:p w14:paraId="64E4B7E8"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Prim-ministrul Nicolae-Ionel Ciucă a vizitat Fabrica Bosch din Jucu, județul Cluj, una dintre cele două unități de producție ale companiei Bosch în România, care activează pe plan local din anul 2013.</w:t>
      </w:r>
      <w:r w:rsidRPr="00E4635C">
        <w:rPr>
          <w:rFonts w:ascii="Verdana" w:hAnsi="Verdana"/>
          <w:sz w:val="18"/>
          <w:szCs w:val="18"/>
        </w:rPr>
        <w:br/>
        <w:t>În discuțiile cu managementul companiei, premierul Ciucă a apreciat continua dezvoltare pe care a cunoscut-o an de an această societate, prin investiții în creșterea capacității de producție și de logistică, în noi tehnologii și echipamente de ultimă oră, precum și prin extinderea portofoliul de produse. În prezent, fabrica Bosch Cluj are trei hale cu o suprafață de producție de 50.000 de metri pătrați, suprafața totală construită fiind de 140.000 de metri pătrați. Investiția totală, de la deschiderea fabricii, se ridică la peste 465 milioane de euro, iar începând cu 2013, compania a beneficiat de ajutor de stat de 60 de milioane de euro.</w:t>
      </w:r>
    </w:p>
    <w:p w14:paraId="22D1075F"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 xml:space="preserve">”Fabrica de la Jucu este, de mulți ani, într-o continuă și rapidă extindere a producției și activităților de cercetare-inovare. Pentru această regiune este un pol de dezvoltare, cu beneficii semnificative în domeniul cercetării, al atragerii de noi investiţii generatoare de locuri de muncă înalt calificate şi bine plătite. Datorită </w:t>
      </w:r>
      <w:r w:rsidRPr="00E4635C">
        <w:rPr>
          <w:rFonts w:ascii="Verdana" w:hAnsi="Verdana"/>
          <w:sz w:val="18"/>
          <w:szCs w:val="18"/>
        </w:rPr>
        <w:lastRenderedPageBreak/>
        <w:t>investitorilor precum Bosch, a promovării unei politici orientate spre investiții, România înregistrează în primul trimestru al acestui an cea mai mare creștere economică din Uniunea Europeană”, a spus premierul Ciucă.</w:t>
      </w:r>
    </w:p>
    <w:p w14:paraId="02D6C831"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Șeful Executivului a menționat că Guvernul va continua să aibă o abordare deschisă față de mediul de afaceri, prin susținerea investițiilor, aplicarea unor măsuri de protejare a economiei, inclusiv prin implementarea Programului ”Sprijin pentru România”. ”Predictibilitatea, stabilitatea și încrederea tuturor celor care contribuie la dezvoltarea economică a țării sunt foarte importante. Vom menține anul acesta cadrul fiscal, sistemul de impozitare și nu vom introduce taxe noi”, a subliniat premierul Ciucă.</w:t>
      </w:r>
    </w:p>
    <w:p w14:paraId="4507C4D8"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Premierul a apreciat produsele de înaltă calitate și soluțiile inovatoare oferite de Fabrica Bosch Cluj marilor producători auto, respectiv unitățile de control electronice pentru asistența de conducere auto, pentru siguranța și confortul în trafic și pentru îmbunătățirea experienței condusului, dar și unitățile de control electronice pentru sisteme de propulsie eBike.</w:t>
      </w:r>
    </w:p>
    <w:p w14:paraId="3A9F1876"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Reprezentanții companiei au arătat că este nevoie de investiții substanțiale pentru a menține performanța tehnologică la cote înalte și pentru a promova tehnologii prietenoase cu mediul, în condițiile în care Bosch  a atins în 2020 neutralitatea privind emisiile de CO2 la nivel global.</w:t>
      </w:r>
    </w:p>
    <w:p w14:paraId="794F8FC0"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În septembrie 2021, compania a inaugurat la Cluj cea de-a treia hală de producție în cadrul fabricii de componente electronice auto. Unitatea permite fabricarea de unități electronice de control de înaltă calitate pentru vehicule electrice, asigurând tehnologii de producție de ultimă generație, mai eficiente, mai flexibile și mai personalizate.</w:t>
      </w:r>
    </w:p>
    <w:p w14:paraId="039E9A44" w14:textId="5B1BE993" w:rsid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Compania folosește soluții de inteligență artificială pentru a detecta și remedia posibile deviații în procesul de producție de la un stadiu incipient și alocă, în acest sens, o parte  considerabilă din investiții soluțiilor de digitalizare și Industrie 4.0, cu obiectivul de a menține utilizarea tehnologiilor de ultimă oră în cadrul fabricii Bosch Cluj.</w:t>
      </w:r>
    </w:p>
    <w:p w14:paraId="20477C7D"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Șeful Executivului a subliniat contribuția semnificativă a companiei la formarea elevilor din cadrul sistemului de învățământ dual, dar și la dezvoltarea personală și profesională a angajaților Bosch, prin programe care susțin relația dintre educație și mediul de afaceri.</w:t>
      </w:r>
    </w:p>
    <w:p w14:paraId="5BBA0694"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”Apreciez preocuparea activă a companiei pentru a ajuta tinerii aflați la început de drum. Avem nevoie de conectarea sistemului educațional la realitatea din industrie și la nevoile concrete. Fără practica și pregătirea la nivel înalt a profesorilor, absolvenții nu vor putea valorifica potențialul de care sunt capabili. Avem nevoie de politici publice în acest sens, iar Guvernul va avea în vedere această prioritate”, a declarat premierul.</w:t>
      </w:r>
    </w:p>
    <w:p w14:paraId="598A8CBF"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În acest context, repezentanții Bosch au menționat necesitatea actualizării curriculei educaționale, ca o condiție prealabilă pentru forța de muncă calificată.</w:t>
      </w:r>
    </w:p>
    <w:p w14:paraId="5ABF8F3A"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 xml:space="preserve">În cadrul fabricii de la Jucu funcționează, începând din  2017, un Centru de Training cu săli de instruire moderne și ateliere de ultimă generație. </w:t>
      </w:r>
    </w:p>
    <w:p w14:paraId="6FB194FF"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Din 2014, fabrica Bosch Cluj derulează programul Școala Duală Bosch, care reprezintă o metodă alternativă a învățământului profesional clasic.</w:t>
      </w:r>
    </w:p>
    <w:p w14:paraId="7690CB9C" w14:textId="4B274DC6"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În fabrica Bosch din județul Cluj lucrează 3.100 de angajați, de 15 naționalități, 50% din personal sunt femei, iar procentul femeilor manager este de 24%. Media de vârstă a personalului este de 37 de ani, cel mai în vârstă angajat avânt 68 de ani, iar cel mai tânăr, 18.</w:t>
      </w:r>
    </w:p>
    <w:p w14:paraId="2BE0269F" w14:textId="77777777"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În cadrul discuțiilor premierului Nicolae-Ionel Ciucă cu reprezentanții companiei, a reieșit nevoia unor modificări legislative pentru a facilita procesului de angajare a cetățenilor străini (non UE) în România, având în vedere lipsa forței de muncă. Alte teme abordate au vizat facilitarea procesului logistic spre și către UE, prin aderarea României la spațiul Schengen, precum și dezvoltarea infrastructurii locale pentru a oferi un acces mai facil de la și spre fabrică.</w:t>
      </w:r>
    </w:p>
    <w:p w14:paraId="3DDF70C2" w14:textId="77777777" w:rsidR="005643CA" w:rsidRPr="005643CA" w:rsidRDefault="00E4635C" w:rsidP="00E4635C">
      <w:pPr>
        <w:pStyle w:val="NormalWeb"/>
        <w:spacing w:before="120" w:beforeAutospacing="0" w:after="0" w:afterAutospacing="0"/>
        <w:jc w:val="both"/>
        <w:textAlignment w:val="baseline"/>
        <w:rPr>
          <w:rFonts w:ascii="Verdana" w:hAnsi="Verdana"/>
          <w:b/>
          <w:sz w:val="18"/>
          <w:szCs w:val="18"/>
        </w:rPr>
      </w:pPr>
      <w:r w:rsidRPr="005643CA">
        <w:rPr>
          <w:rFonts w:ascii="Verdana" w:hAnsi="Verdana"/>
          <w:b/>
          <w:sz w:val="18"/>
          <w:szCs w:val="18"/>
        </w:rPr>
        <w:t>Informații suplimentare:</w:t>
      </w:r>
    </w:p>
    <w:p w14:paraId="76350787" w14:textId="77777777" w:rsidR="005643CA"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Grupul Bosch este prezent pe piaţa din România de peste 27 de ani. Cu două fabrici, un centru de inginerie, un centru de externalizare a proceselor de afaceri şi birouri de vânzări, toate cele patru sectoare de activitate ale grupului sunt reprezentate în România: Soluţii de mobilitate, Bunuri de larg consum, Tehnologie pentru construcţii şi energie şi Tehnologie industrială.</w:t>
      </w:r>
    </w:p>
    <w:p w14:paraId="51365A7B" w14:textId="12901DE2"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lastRenderedPageBreak/>
        <w:t>Bosch a avut, în 2020, vânzări consolidate în valoare de aproape 2,2 miliarde de lei (448 de milioane de euro) în România. Vânzările totale nete, de 6,8 miliarde de lei (1,4 miliarde de euro), inclusiv vânzările companiilor neconsolidate și livrările interne către companii afiliate, au rămas la un nivel similar cu cel al anului anterior.</w:t>
      </w:r>
    </w:p>
    <w:p w14:paraId="23D4E6C0" w14:textId="3DD71CAD" w:rsidR="00E4635C" w:rsidRPr="00E4635C" w:rsidRDefault="00E4635C" w:rsidP="005643CA">
      <w:pPr>
        <w:pStyle w:val="separatorarticole"/>
      </w:pPr>
      <w:r w:rsidRPr="00E4635C">
        <w:t> *</w:t>
      </w:r>
    </w:p>
    <w:p w14:paraId="09214FA5" w14:textId="77777777" w:rsidR="00E4635C" w:rsidRPr="00E4635C" w:rsidRDefault="00E4635C" w:rsidP="005643CA">
      <w:pPr>
        <w:pStyle w:val="TitluArticolinINFOUE"/>
        <w:rPr>
          <w:lang w:eastAsia="ro-RO"/>
        </w:rPr>
      </w:pPr>
      <w:bookmarkStart w:id="130" w:name="_Toc104197263"/>
      <w:r w:rsidRPr="00E4635C">
        <w:t>CNSU a stabilit noi decizii privind acordarea de asistență umanitară pentru Ucraina</w:t>
      </w:r>
      <w:bookmarkEnd w:id="130"/>
    </w:p>
    <w:p w14:paraId="3BBEDF20" w14:textId="77777777"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Comitetul Național pentru Situații de Urgență a adoptat în ședința de astăzi, 21 mai 2022, Hotărârile numărul 24 și 25, pentru acordarea de asistență internațională gratuită pentru Ucraina și pentru scoaterea de la rezervele de stat a unor produse alimentare destinate sprijinirii persoanelor care s-au refugiat pe teritoriul României, în urma conflictului din Ucraina.</w:t>
      </w:r>
    </w:p>
    <w:p w14:paraId="2482B0B5" w14:textId="77777777"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Astfel, Guvernul României, prin grija MAI, MAE și IGSU, va transmite în Ucraina măști chirurgicale, viziere și combinezoane medicale.</w:t>
      </w:r>
    </w:p>
    <w:p w14:paraId="44C1E0AD" w14:textId="77777777"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De asemenea, pentru asigurarea condițiilor necesare refugiaților ucraineni, vor fi repartizate Direcției Generale de Asistență Socială a Municipiului București următoarele categorii de produse: mălai, făină, orez, zahăr, ulei alimentar și diferite tipuri de conserve.</w:t>
      </w:r>
    </w:p>
    <w:p w14:paraId="5CD52D47" w14:textId="77777777" w:rsidR="00E4635C" w:rsidRPr="00E4635C" w:rsidRDefault="00E4635C" w:rsidP="00E4635C">
      <w:pPr>
        <w:pStyle w:val="NormalWeb"/>
        <w:spacing w:before="120" w:beforeAutospacing="0" w:after="0" w:afterAutospacing="0"/>
        <w:jc w:val="both"/>
        <w:textAlignment w:val="baseline"/>
        <w:rPr>
          <w:rFonts w:ascii="Verdana" w:hAnsi="Verdana"/>
          <w:sz w:val="18"/>
          <w:szCs w:val="18"/>
        </w:rPr>
      </w:pPr>
      <w:r w:rsidRPr="00E4635C">
        <w:rPr>
          <w:rFonts w:ascii="Verdana" w:hAnsi="Verdana"/>
          <w:sz w:val="18"/>
          <w:szCs w:val="18"/>
        </w:rPr>
        <w:t>Cele două hotărâri adoptate și anexele lor sunt disponibile aici:</w:t>
      </w:r>
    </w:p>
    <w:p w14:paraId="7936F43A" w14:textId="77777777" w:rsidR="00E4635C" w:rsidRPr="00E4635C" w:rsidRDefault="00E4635C" w:rsidP="005643CA">
      <w:pPr>
        <w:numPr>
          <w:ilvl w:val="0"/>
          <w:numId w:val="18"/>
        </w:numPr>
        <w:ind w:left="0" w:firstLine="0"/>
        <w:jc w:val="both"/>
        <w:textAlignment w:val="baseline"/>
        <w:rPr>
          <w:szCs w:val="18"/>
        </w:rPr>
      </w:pPr>
      <w:hyperlink r:id="rId17" w:history="1">
        <w:r w:rsidRPr="00E4635C">
          <w:rPr>
            <w:rStyle w:val="Hyperlink"/>
            <w:color w:val="auto"/>
            <w:u w:val="none"/>
            <w:bdr w:val="none" w:sz="0" w:space="0" w:color="auto" w:frame="1"/>
          </w:rPr>
          <w:t>Hotarare CNSU nr. 24 din 21.05.2022</w:t>
        </w:r>
      </w:hyperlink>
    </w:p>
    <w:p w14:paraId="4C444370" w14:textId="77777777" w:rsidR="00E4635C" w:rsidRPr="00E4635C" w:rsidRDefault="00E4635C" w:rsidP="005643CA">
      <w:pPr>
        <w:numPr>
          <w:ilvl w:val="0"/>
          <w:numId w:val="18"/>
        </w:numPr>
        <w:ind w:left="0" w:firstLine="0"/>
        <w:jc w:val="both"/>
        <w:textAlignment w:val="baseline"/>
        <w:rPr>
          <w:szCs w:val="18"/>
        </w:rPr>
      </w:pPr>
      <w:hyperlink r:id="rId18" w:history="1">
        <w:r w:rsidRPr="00E4635C">
          <w:rPr>
            <w:rStyle w:val="Hyperlink"/>
            <w:color w:val="auto"/>
            <w:u w:val="none"/>
            <w:bdr w:val="none" w:sz="0" w:space="0" w:color="auto" w:frame="1"/>
          </w:rPr>
          <w:t>Anexa la HCNSU nr. 24 din 21.05.2022</w:t>
        </w:r>
      </w:hyperlink>
    </w:p>
    <w:p w14:paraId="71DC0EF4" w14:textId="77777777" w:rsidR="00E4635C" w:rsidRPr="00E4635C" w:rsidRDefault="00E4635C" w:rsidP="005643CA">
      <w:pPr>
        <w:numPr>
          <w:ilvl w:val="0"/>
          <w:numId w:val="18"/>
        </w:numPr>
        <w:ind w:left="0" w:firstLine="0"/>
        <w:jc w:val="both"/>
        <w:textAlignment w:val="baseline"/>
        <w:rPr>
          <w:szCs w:val="18"/>
        </w:rPr>
      </w:pPr>
      <w:hyperlink r:id="rId19" w:history="1">
        <w:r w:rsidRPr="00E4635C">
          <w:rPr>
            <w:rStyle w:val="Hyperlink"/>
            <w:color w:val="auto"/>
            <w:u w:val="none"/>
            <w:bdr w:val="none" w:sz="0" w:space="0" w:color="auto" w:frame="1"/>
          </w:rPr>
          <w:t>Hotarare CNSU nr. 25 din 21.05.2022</w:t>
        </w:r>
      </w:hyperlink>
    </w:p>
    <w:p w14:paraId="22369CBB" w14:textId="77777777" w:rsidR="00E4635C" w:rsidRPr="00E4635C" w:rsidRDefault="00E4635C" w:rsidP="005643CA">
      <w:pPr>
        <w:numPr>
          <w:ilvl w:val="0"/>
          <w:numId w:val="18"/>
        </w:numPr>
        <w:ind w:left="0" w:firstLine="0"/>
        <w:jc w:val="both"/>
        <w:textAlignment w:val="baseline"/>
        <w:rPr>
          <w:szCs w:val="18"/>
        </w:rPr>
      </w:pPr>
      <w:hyperlink r:id="rId20" w:history="1">
        <w:r w:rsidRPr="00E4635C">
          <w:rPr>
            <w:rStyle w:val="Hyperlink"/>
            <w:color w:val="auto"/>
            <w:u w:val="none"/>
            <w:bdr w:val="none" w:sz="0" w:space="0" w:color="auto" w:frame="1"/>
          </w:rPr>
          <w:t>Anexa la HCNSU nr. 25 din 21.05.2022</w:t>
        </w:r>
      </w:hyperlink>
    </w:p>
    <w:p w14:paraId="2CC55A97" w14:textId="7259D30D" w:rsidR="0006539B" w:rsidRDefault="0006539B" w:rsidP="0006539B">
      <w:pPr>
        <w:pStyle w:val="Stilsursa"/>
        <w:rPr>
          <w:rStyle w:val="Hyperlink"/>
          <w:sz w:val="14"/>
          <w:szCs w:val="24"/>
        </w:rPr>
      </w:pPr>
      <w:r w:rsidRPr="0006539B">
        <w:t xml:space="preserve">Sursa: Guvernul României - </w:t>
      </w:r>
      <w:hyperlink r:id="rId21" w:history="1">
        <w:r w:rsidR="00B072FE" w:rsidRPr="00523108">
          <w:rPr>
            <w:rStyle w:val="Hyperlink"/>
            <w:sz w:val="14"/>
            <w:szCs w:val="24"/>
          </w:rPr>
          <w:t>https://gov.ro/ro/media/comunicate</w:t>
        </w:r>
      </w:hyperlink>
    </w:p>
    <w:bookmarkEnd w:id="11"/>
    <w:bookmarkEnd w:id="12"/>
    <w:bookmarkEnd w:id="13"/>
    <w:bookmarkEnd w:id="14"/>
    <w:bookmarkEnd w:id="15"/>
    <w:bookmarkEnd w:id="16"/>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0421F22" w:rsidR="00FD2452" w:rsidRPr="00F50627" w:rsidRDefault="00FD2452" w:rsidP="00B2000B">
      <w:pPr>
        <w:pStyle w:val="InfoEuropeana"/>
        <w:spacing w:before="0"/>
        <w:ind w:right="198"/>
      </w:pPr>
      <w:bookmarkStart w:id="131" w:name="_Toc104197264"/>
      <w:r w:rsidRPr="00F50627">
        <w:t>Informaţie Europeană</w:t>
      </w:r>
      <w:bookmarkEnd w:id="13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E86D64">
            <w:pPr>
              <w:spacing w:before="0"/>
              <w:ind w:right="198"/>
              <w:jc w:val="both"/>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D64">
            <w:pPr>
              <w:ind w:right="198"/>
              <w:jc w:val="both"/>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D64">
            <w:pPr>
              <w:jc w:val="both"/>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D64">
            <w:pPr>
              <w:jc w:val="both"/>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E86D64">
            <w:pPr>
              <w:ind w:right="198"/>
              <w:jc w:val="both"/>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4958452F" w:rsidR="001B389D" w:rsidRPr="00E864FF" w:rsidRDefault="001B389D" w:rsidP="00E86D64">
            <w:pPr>
              <w:ind w:right="198"/>
              <w:jc w:val="both"/>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52A284E" w14:textId="77777777" w:rsidR="00F3452A" w:rsidRPr="00AA06A7" w:rsidRDefault="00F3452A" w:rsidP="00AA06A7">
      <w:pPr>
        <w:pStyle w:val="separatorcapitole"/>
        <w:ind w:right="198"/>
      </w:pPr>
      <w:bookmarkStart w:id="132" w:name="_Toc415050943"/>
      <w:r w:rsidRPr="00AA06A7">
        <w:sym w:font="Wingdings" w:char="F07B"/>
      </w:r>
      <w:r w:rsidRPr="00AA06A7">
        <w:sym w:font="Wingdings" w:char="F07B"/>
      </w:r>
      <w:r w:rsidRPr="00AA06A7">
        <w:sym w:font="Wingdings" w:char="F07B"/>
      </w:r>
    </w:p>
    <w:p w14:paraId="0AA511DD" w14:textId="36762A3A" w:rsidR="009B6759" w:rsidRDefault="00587A84" w:rsidP="00A9160E">
      <w:pPr>
        <w:pStyle w:val="Consultarepublica"/>
        <w:rPr>
          <w:color w:val="639729"/>
        </w:rPr>
      </w:pPr>
      <w:bookmarkStart w:id="133" w:name="_Toc464051883"/>
      <w:bookmarkStart w:id="134" w:name="_Toc464117719"/>
      <w:bookmarkStart w:id="135" w:name="_Toc466963745"/>
      <w:bookmarkStart w:id="136" w:name="_Toc104197265"/>
      <w:bookmarkEnd w:id="132"/>
      <w:r w:rsidRPr="00AA06A7">
        <w:lastRenderedPageBreak/>
        <w:t>NOUTĂȚI</w:t>
      </w:r>
      <w:r w:rsidR="00F45109" w:rsidRPr="00AA06A7">
        <w:t xml:space="preserve"> – </w:t>
      </w:r>
      <w:r w:rsidR="00F45109" w:rsidRPr="00A9160E">
        <w:rPr>
          <w:color w:val="639729"/>
        </w:rPr>
        <w:t>Informații UTILE</w:t>
      </w:r>
      <w:bookmarkEnd w:id="136"/>
    </w:p>
    <w:p w14:paraId="73B79858" w14:textId="77777777" w:rsidR="007A2B22" w:rsidRPr="007A2B22" w:rsidRDefault="007A2B22" w:rsidP="007A2B22">
      <w:pPr>
        <w:pStyle w:val="TitluArticolinINFOUE"/>
        <w:rPr>
          <w:lang w:eastAsia="ro-RO"/>
        </w:rPr>
      </w:pPr>
      <w:bookmarkStart w:id="137" w:name="_Toc104197266"/>
      <w:r w:rsidRPr="007A2B22">
        <w:t>Investiții pentru dezvoltarea și extinderea sistemului informatic al APIA</w:t>
      </w:r>
      <w:bookmarkEnd w:id="137"/>
    </w:p>
    <w:p w14:paraId="2107807F" w14:textId="77777777" w:rsidR="007A2B22" w:rsidRPr="007A2B22" w:rsidRDefault="007A2B22" w:rsidP="00C61121">
      <w:pPr>
        <w:pStyle w:val="NormalWeb"/>
        <w:spacing w:before="0" w:beforeAutospacing="0" w:after="150" w:afterAutospacing="0"/>
        <w:jc w:val="both"/>
        <w:rPr>
          <w:rFonts w:ascii="Verdana" w:hAnsi="Verdana"/>
          <w:color w:val="313131"/>
          <w:sz w:val="18"/>
          <w:szCs w:val="18"/>
        </w:rPr>
      </w:pPr>
      <w:r w:rsidRPr="007A2B22">
        <w:rPr>
          <w:rFonts w:ascii="Verdana" w:hAnsi="Verdana"/>
          <w:color w:val="313131"/>
          <w:sz w:val="18"/>
          <w:szCs w:val="18"/>
        </w:rPr>
        <w:t>În Ședința Guvernului din 18 mai 2022 a fost aprobat proiectul de investiții „Servicii de dezvoltare și extindere a sistemului informatic al Agenției de Plăți și Intervenție pentru Agricultură de gestionare a cererilor de plată”.</w:t>
      </w:r>
    </w:p>
    <w:p w14:paraId="37D940A2" w14:textId="77777777" w:rsidR="007A2B22" w:rsidRPr="007A2B22" w:rsidRDefault="007A2B22" w:rsidP="00C61121">
      <w:pPr>
        <w:pStyle w:val="NormalWeb"/>
        <w:spacing w:before="0" w:beforeAutospacing="0" w:after="150" w:afterAutospacing="0"/>
        <w:jc w:val="both"/>
        <w:rPr>
          <w:rFonts w:ascii="Verdana" w:hAnsi="Verdana"/>
          <w:color w:val="313131"/>
          <w:sz w:val="18"/>
          <w:szCs w:val="18"/>
        </w:rPr>
      </w:pPr>
      <w:r w:rsidRPr="007A2B22">
        <w:rPr>
          <w:rFonts w:ascii="Verdana" w:hAnsi="Verdana"/>
          <w:color w:val="313131"/>
          <w:sz w:val="18"/>
          <w:szCs w:val="18"/>
        </w:rPr>
        <w:t>Proiectul vizează dezvoltarea componentelor de interfață existente și a altor componente noi necesare conform cerințelor specifice, apărute ca urmare a modificării legislației europene, naționale și a regulilor organizaționale.</w:t>
      </w:r>
    </w:p>
    <w:p w14:paraId="24915F0B" w14:textId="77777777" w:rsidR="007A2B22" w:rsidRPr="007A2B22" w:rsidRDefault="007A2B22" w:rsidP="00C61121">
      <w:pPr>
        <w:pStyle w:val="NormalWeb"/>
        <w:spacing w:before="0" w:beforeAutospacing="0" w:after="150" w:afterAutospacing="0"/>
        <w:jc w:val="both"/>
        <w:rPr>
          <w:rFonts w:ascii="Verdana" w:hAnsi="Verdana"/>
          <w:color w:val="313131"/>
          <w:sz w:val="18"/>
          <w:szCs w:val="18"/>
        </w:rPr>
      </w:pPr>
      <w:r w:rsidRPr="007A2B22">
        <w:rPr>
          <w:rFonts w:ascii="Verdana" w:hAnsi="Verdana"/>
          <w:color w:val="313131"/>
          <w:sz w:val="18"/>
          <w:szCs w:val="18"/>
        </w:rPr>
        <w:t>Aplicațiile dezvoltate se vor afla în proprietatea Agenției de Plăți și Intervenție pentru Agricultură (APIA), beneficiar direct fiind personalul din centrele județene, locale și aparatul central, care vor utiliza aplicațiile informatice dezvoltate pentru punerea în aplicare a politicii comune specifice din aria de competență a APIA, dar și fermierii români ale căror cereri de plată vor putea fi procesate și gestionate în sistemul integrat de administrare și control asigurând o buna verificare în vederea protejării intereselor financiare ale Comisiei Europene.</w:t>
      </w:r>
    </w:p>
    <w:p w14:paraId="77F7FAD1" w14:textId="77777777" w:rsidR="007A2B22" w:rsidRPr="007A2B22" w:rsidRDefault="007A2B22" w:rsidP="00C61121">
      <w:pPr>
        <w:pStyle w:val="NormalWeb"/>
        <w:spacing w:before="0" w:beforeAutospacing="0" w:after="150" w:afterAutospacing="0"/>
        <w:jc w:val="both"/>
        <w:rPr>
          <w:rFonts w:ascii="Verdana" w:hAnsi="Verdana"/>
          <w:color w:val="313131"/>
          <w:sz w:val="18"/>
          <w:szCs w:val="18"/>
        </w:rPr>
      </w:pPr>
      <w:r w:rsidRPr="007A2B22">
        <w:rPr>
          <w:rFonts w:ascii="Verdana" w:hAnsi="Verdana"/>
          <w:color w:val="313131"/>
          <w:sz w:val="18"/>
          <w:szCs w:val="18"/>
        </w:rPr>
        <w:t>Finanțarea proiectului de investiții se realizează de la bugetul de stat și din fonduri externe nerambursabile, prin bugetul Ministerului Agriculturii şi Dezvoltării Rurale, în limita sumelor aprobate anual cu această destinație, conform programelor de investiții publice aprobate prin lege.</w:t>
      </w:r>
    </w:p>
    <w:p w14:paraId="7F5E0B40" w14:textId="77777777" w:rsidR="007A2B22" w:rsidRPr="007A2B22" w:rsidRDefault="007A2B22" w:rsidP="007A2B22">
      <w:pPr>
        <w:pStyle w:val="Stilsursa"/>
      </w:pPr>
      <w:r w:rsidRPr="007A2B22">
        <w:t>Sursa: MADR</w:t>
      </w:r>
    </w:p>
    <w:p w14:paraId="70F1361C" w14:textId="7ECDC5ED" w:rsidR="007A2B22" w:rsidRPr="007A2B22" w:rsidRDefault="007A2B22" w:rsidP="007A2B22">
      <w:pPr>
        <w:pStyle w:val="separatorarticole"/>
      </w:pPr>
      <w:r>
        <w:t>*</w:t>
      </w:r>
    </w:p>
    <w:p w14:paraId="0F077D9B" w14:textId="77777777" w:rsidR="00D82404" w:rsidRPr="00D82404" w:rsidRDefault="00D82404" w:rsidP="00D82404">
      <w:pPr>
        <w:pStyle w:val="TitluArticolinINFOUE"/>
        <w:rPr>
          <w:lang w:eastAsia="ro-RO"/>
        </w:rPr>
      </w:pPr>
      <w:bookmarkStart w:id="138" w:name="_Toc104197267"/>
      <w:r w:rsidRPr="00D82404">
        <w:t>Peste 109 de milioane de euro, fonduri europene nerambursabile, pentru apicultori</w:t>
      </w:r>
      <w:bookmarkEnd w:id="138"/>
    </w:p>
    <w:p w14:paraId="648483B2" w14:textId="77777777" w:rsidR="00D82404" w:rsidRPr="00D82404" w:rsidRDefault="00D82404" w:rsidP="00C61121">
      <w:pPr>
        <w:pStyle w:val="NormalWeb"/>
        <w:spacing w:before="0" w:beforeAutospacing="0" w:after="150" w:afterAutospacing="0"/>
        <w:jc w:val="both"/>
        <w:rPr>
          <w:rFonts w:ascii="Verdana" w:hAnsi="Verdana"/>
          <w:color w:val="313131"/>
          <w:sz w:val="18"/>
          <w:szCs w:val="18"/>
        </w:rPr>
      </w:pPr>
      <w:r w:rsidRPr="00D82404">
        <w:rPr>
          <w:rFonts w:ascii="Verdana" w:hAnsi="Verdana"/>
          <w:color w:val="313131"/>
          <w:sz w:val="18"/>
          <w:szCs w:val="18"/>
        </w:rPr>
        <w:t>Agenția pentru Finanțarea Investițiilor Rurale a finanțat până în prezent 5.495 de apicultori prin Fondul European Agricol pentru Dezvoltare Rurală (FEADR), care au primit sprijin nerambursabil pentru achiziția de stupi, familii de albine sau pentru procesarea mierii, se arată într-un comunicat al Agenției publicat ieri, 20 mai 2022.</w:t>
      </w:r>
    </w:p>
    <w:p w14:paraId="4ABD3E65" w14:textId="77777777" w:rsidR="00D82404" w:rsidRPr="00D82404" w:rsidRDefault="00D82404" w:rsidP="00C61121">
      <w:pPr>
        <w:pStyle w:val="NormalWeb"/>
        <w:spacing w:before="0" w:beforeAutospacing="0" w:after="150" w:afterAutospacing="0"/>
        <w:jc w:val="both"/>
        <w:rPr>
          <w:rFonts w:ascii="Verdana" w:hAnsi="Verdana"/>
          <w:color w:val="313131"/>
          <w:sz w:val="18"/>
          <w:szCs w:val="18"/>
        </w:rPr>
      </w:pPr>
      <w:r w:rsidRPr="00D82404">
        <w:rPr>
          <w:rFonts w:ascii="Verdana" w:hAnsi="Verdana"/>
          <w:color w:val="313131"/>
          <w:sz w:val="18"/>
          <w:szCs w:val="18"/>
        </w:rPr>
        <w:t>Valoarea proiectelor care au ca scop investiții în sectorul apicol, finanțate de AFIR prin PNDR 2020, </w:t>
      </w:r>
      <w:r w:rsidRPr="00D82404">
        <w:rPr>
          <w:rStyle w:val="Strong"/>
          <w:color w:val="313131"/>
        </w:rPr>
        <w:t>este de peste 109 milioane de euro</w:t>
      </w:r>
      <w:r w:rsidRPr="00D82404">
        <w:rPr>
          <w:rFonts w:ascii="Verdana" w:hAnsi="Verdana"/>
          <w:color w:val="313131"/>
          <w:sz w:val="18"/>
          <w:szCs w:val="18"/>
        </w:rPr>
        <w:t>. Beneficiarii investițiilor apicole au accesat fonduri europene nerambursabile acordate prin </w:t>
      </w:r>
      <w:r w:rsidRPr="00D82404">
        <w:rPr>
          <w:rStyle w:val="Strong"/>
          <w:color w:val="313131"/>
        </w:rPr>
        <w:t>submăsurile 4.1</w:t>
      </w:r>
      <w:r w:rsidRPr="00D82404">
        <w:rPr>
          <w:rFonts w:ascii="Verdana" w:hAnsi="Verdana"/>
          <w:color w:val="313131"/>
          <w:sz w:val="18"/>
          <w:szCs w:val="18"/>
        </w:rPr>
        <w:t> „</w:t>
      </w:r>
      <w:r w:rsidRPr="00D82404">
        <w:rPr>
          <w:rStyle w:val="Emphasis"/>
          <w:color w:val="313131"/>
        </w:rPr>
        <w:t>Investiții în exploatații agricole</w:t>
      </w:r>
      <w:r w:rsidRPr="00D82404">
        <w:rPr>
          <w:rFonts w:ascii="Verdana" w:hAnsi="Verdana"/>
          <w:color w:val="313131"/>
          <w:sz w:val="18"/>
          <w:szCs w:val="18"/>
        </w:rPr>
        <w:t>”, </w:t>
      </w:r>
      <w:r w:rsidRPr="00D82404">
        <w:rPr>
          <w:rStyle w:val="Strong"/>
          <w:color w:val="313131"/>
        </w:rPr>
        <w:t>4.2 </w:t>
      </w:r>
      <w:r w:rsidRPr="00D82404">
        <w:rPr>
          <w:rFonts w:ascii="Verdana" w:hAnsi="Verdana"/>
          <w:color w:val="313131"/>
          <w:sz w:val="18"/>
          <w:szCs w:val="18"/>
        </w:rPr>
        <w:t>„</w:t>
      </w:r>
      <w:r w:rsidRPr="00D82404">
        <w:rPr>
          <w:rStyle w:val="Emphasis"/>
          <w:color w:val="313131"/>
        </w:rPr>
        <w:t>Sprijin pentru investiții în procesarea/ marketingul produselor agricole</w:t>
      </w:r>
      <w:r w:rsidRPr="00D82404">
        <w:rPr>
          <w:rFonts w:ascii="Verdana" w:hAnsi="Verdana"/>
          <w:color w:val="313131"/>
          <w:sz w:val="18"/>
          <w:szCs w:val="18"/>
        </w:rPr>
        <w:t>”, </w:t>
      </w:r>
      <w:r w:rsidRPr="00D82404">
        <w:rPr>
          <w:rStyle w:val="Strong"/>
          <w:color w:val="313131"/>
        </w:rPr>
        <w:t>6.1</w:t>
      </w:r>
      <w:r w:rsidRPr="00D82404">
        <w:rPr>
          <w:rFonts w:ascii="Verdana" w:hAnsi="Verdana"/>
          <w:color w:val="313131"/>
          <w:sz w:val="18"/>
          <w:szCs w:val="18"/>
        </w:rPr>
        <w:t> </w:t>
      </w:r>
      <w:r w:rsidRPr="00D82404">
        <w:rPr>
          <w:rStyle w:val="Emphasis"/>
          <w:color w:val="313131"/>
        </w:rPr>
        <w:t>„Sprijin pentru instalarea tinerilor fermieri”</w:t>
      </w:r>
      <w:r w:rsidRPr="00D82404">
        <w:rPr>
          <w:rFonts w:ascii="Verdana" w:hAnsi="Verdana"/>
          <w:color w:val="313131"/>
          <w:sz w:val="18"/>
          <w:szCs w:val="18"/>
        </w:rPr>
        <w:t> și </w:t>
      </w:r>
      <w:r w:rsidRPr="00D82404">
        <w:rPr>
          <w:rStyle w:val="Strong"/>
          <w:color w:val="313131"/>
        </w:rPr>
        <w:t>6.3</w:t>
      </w:r>
      <w:r w:rsidRPr="00D82404">
        <w:rPr>
          <w:rFonts w:ascii="Verdana" w:hAnsi="Verdana"/>
          <w:color w:val="313131"/>
          <w:sz w:val="18"/>
          <w:szCs w:val="18"/>
        </w:rPr>
        <w:t> „</w:t>
      </w:r>
      <w:r w:rsidRPr="00D82404">
        <w:rPr>
          <w:rStyle w:val="Emphasis"/>
          <w:color w:val="313131"/>
        </w:rPr>
        <w:t>Sprijin pentru dezvoltarea fermelor mici</w:t>
      </w:r>
      <w:r w:rsidRPr="00D82404">
        <w:rPr>
          <w:rFonts w:ascii="Verdana" w:hAnsi="Verdana"/>
          <w:color w:val="313131"/>
          <w:sz w:val="18"/>
          <w:szCs w:val="18"/>
        </w:rPr>
        <w:t>”. Totodată, proiecte ce privesc domeniul apicol au primit finanțare și prin </w:t>
      </w:r>
      <w:r w:rsidRPr="00D82404">
        <w:rPr>
          <w:rStyle w:val="Strong"/>
          <w:color w:val="313131"/>
        </w:rPr>
        <w:t>submăsurile 9.1</w:t>
      </w:r>
      <w:r w:rsidRPr="00D82404">
        <w:rPr>
          <w:rStyle w:val="Emphasis"/>
          <w:color w:val="313131"/>
        </w:rPr>
        <w:t> „Înființarea grupurilor de producători în sectorul agricol” </w:t>
      </w:r>
      <w:r w:rsidRPr="00D82404">
        <w:rPr>
          <w:rFonts w:ascii="Verdana" w:hAnsi="Verdana"/>
          <w:color w:val="313131"/>
          <w:sz w:val="18"/>
          <w:szCs w:val="18"/>
        </w:rPr>
        <w:t>și </w:t>
      </w:r>
      <w:r w:rsidRPr="00D82404">
        <w:rPr>
          <w:rStyle w:val="Strong"/>
          <w:color w:val="313131"/>
        </w:rPr>
        <w:t>16.4</w:t>
      </w:r>
      <w:r w:rsidRPr="00D82404">
        <w:rPr>
          <w:rStyle w:val="Emphasis"/>
          <w:color w:val="313131"/>
        </w:rPr>
        <w:t> „Sprijin acordat pentru cooperare orizontală și verticală între actorii din lanțul de aprovizionare în sectoarele agricol și pomicol”</w:t>
      </w:r>
    </w:p>
    <w:p w14:paraId="590F96C3" w14:textId="77777777" w:rsidR="00D82404" w:rsidRPr="00D82404" w:rsidRDefault="00D82404" w:rsidP="00C61121">
      <w:pPr>
        <w:pStyle w:val="NormalWeb"/>
        <w:spacing w:before="0" w:beforeAutospacing="0" w:after="150" w:afterAutospacing="0"/>
        <w:jc w:val="both"/>
        <w:rPr>
          <w:rFonts w:ascii="Verdana" w:hAnsi="Verdana"/>
          <w:color w:val="313131"/>
          <w:sz w:val="18"/>
          <w:szCs w:val="18"/>
        </w:rPr>
      </w:pPr>
      <w:r w:rsidRPr="00D82404">
        <w:rPr>
          <w:rFonts w:ascii="Verdana" w:hAnsi="Verdana"/>
          <w:color w:val="313131"/>
          <w:sz w:val="18"/>
          <w:szCs w:val="18"/>
        </w:rPr>
        <w:t>Cele mai multe proiecte pentru apicultură au fost finanțate prin intermediul </w:t>
      </w:r>
      <w:r w:rsidRPr="00D82404">
        <w:rPr>
          <w:rStyle w:val="Strong"/>
          <w:color w:val="313131"/>
        </w:rPr>
        <w:t>submăsurii 6.3</w:t>
      </w:r>
      <w:r w:rsidRPr="00D82404">
        <w:rPr>
          <w:rFonts w:ascii="Verdana" w:hAnsi="Verdana"/>
          <w:color w:val="313131"/>
          <w:sz w:val="18"/>
          <w:szCs w:val="18"/>
        </w:rPr>
        <w:t>. Astfel, prin această submăsură s-au finanțat 4.667 de proiecte cu o valoare publică contractată de aproape 70 milioane euro. Aceste proiecte au vizat achiziția de familie de albine sau instrumentar apicol.</w:t>
      </w:r>
    </w:p>
    <w:p w14:paraId="46178A29" w14:textId="77777777" w:rsidR="00D82404" w:rsidRPr="00D82404" w:rsidRDefault="00D82404" w:rsidP="00C61121">
      <w:pPr>
        <w:pStyle w:val="NormalWeb"/>
        <w:spacing w:before="0" w:beforeAutospacing="0" w:after="150" w:afterAutospacing="0"/>
        <w:jc w:val="both"/>
        <w:rPr>
          <w:rFonts w:ascii="Verdana" w:hAnsi="Verdana"/>
          <w:color w:val="313131"/>
          <w:sz w:val="18"/>
          <w:szCs w:val="18"/>
        </w:rPr>
      </w:pPr>
      <w:r w:rsidRPr="00D82404">
        <w:rPr>
          <w:rFonts w:ascii="Verdana" w:hAnsi="Verdana"/>
          <w:color w:val="313131"/>
          <w:sz w:val="18"/>
          <w:szCs w:val="18"/>
        </w:rPr>
        <w:t>Proiectele dedicate apiculturii finanțate prin </w:t>
      </w:r>
      <w:r w:rsidRPr="00D82404">
        <w:rPr>
          <w:rStyle w:val="Strong"/>
          <w:color w:val="313131"/>
        </w:rPr>
        <w:t>submăsura 6.1</w:t>
      </w:r>
      <w:r w:rsidRPr="00D82404">
        <w:rPr>
          <w:rFonts w:ascii="Verdana" w:hAnsi="Verdana"/>
          <w:color w:val="313131"/>
          <w:sz w:val="18"/>
          <w:szCs w:val="18"/>
        </w:rPr>
        <w:t> sunt în număr de 801, cu o valoare publică contractată de 33,1 milioane euro și au prevăzut atât achiziții, cât și mică procesare la nivelul exploatației apicole.</w:t>
      </w:r>
    </w:p>
    <w:p w14:paraId="101C2023" w14:textId="77777777" w:rsidR="00D82404" w:rsidRPr="00D82404" w:rsidRDefault="00D82404" w:rsidP="00C61121">
      <w:pPr>
        <w:pStyle w:val="NormalWeb"/>
        <w:spacing w:before="0" w:beforeAutospacing="0" w:after="150" w:afterAutospacing="0"/>
        <w:jc w:val="both"/>
        <w:rPr>
          <w:rFonts w:ascii="Verdana" w:hAnsi="Verdana"/>
          <w:color w:val="313131"/>
          <w:sz w:val="18"/>
          <w:szCs w:val="18"/>
        </w:rPr>
      </w:pPr>
      <w:r w:rsidRPr="00D82404">
        <w:rPr>
          <w:rFonts w:ascii="Verdana" w:hAnsi="Verdana"/>
          <w:color w:val="313131"/>
          <w:sz w:val="18"/>
          <w:szCs w:val="18"/>
        </w:rPr>
        <w:t>Prin </w:t>
      </w:r>
      <w:r w:rsidRPr="00D82404">
        <w:rPr>
          <w:rStyle w:val="Strong"/>
          <w:color w:val="313131"/>
        </w:rPr>
        <w:t>submăsura 4.1</w:t>
      </w:r>
      <w:r w:rsidRPr="00D82404">
        <w:rPr>
          <w:rFonts w:ascii="Verdana" w:hAnsi="Verdana"/>
          <w:color w:val="313131"/>
          <w:sz w:val="18"/>
          <w:szCs w:val="18"/>
        </w:rPr>
        <w:t> au fost finanțate 6 proiecte pe apicultură, cu o valoarea publică contractată de peste 2,4 milioane euro. Tipurile de investiții vizează înființarea/ modernizarea stupinelor prin achiziție echipamente apicole și amenajare spații pentru procesare, condiționare produse apicole.</w:t>
      </w:r>
    </w:p>
    <w:p w14:paraId="22099F01" w14:textId="77777777" w:rsidR="00D82404" w:rsidRPr="00D82404" w:rsidRDefault="00D82404" w:rsidP="00C61121">
      <w:pPr>
        <w:pStyle w:val="NormalWeb"/>
        <w:spacing w:before="0" w:beforeAutospacing="0" w:after="150" w:afterAutospacing="0"/>
        <w:jc w:val="both"/>
        <w:rPr>
          <w:rFonts w:ascii="Verdana" w:hAnsi="Verdana"/>
          <w:color w:val="313131"/>
          <w:sz w:val="18"/>
          <w:szCs w:val="18"/>
        </w:rPr>
      </w:pPr>
      <w:r w:rsidRPr="00D82404">
        <w:rPr>
          <w:rFonts w:ascii="Verdana" w:hAnsi="Verdana"/>
          <w:color w:val="313131"/>
          <w:sz w:val="18"/>
          <w:szCs w:val="18"/>
        </w:rPr>
        <w:t>Prin </w:t>
      </w:r>
      <w:r w:rsidRPr="00D82404">
        <w:rPr>
          <w:rStyle w:val="Strong"/>
          <w:color w:val="313131"/>
        </w:rPr>
        <w:t>submăsura 4.2</w:t>
      </w:r>
      <w:r w:rsidRPr="00D82404">
        <w:rPr>
          <w:rFonts w:ascii="Verdana" w:hAnsi="Verdana"/>
          <w:color w:val="313131"/>
          <w:sz w:val="18"/>
          <w:szCs w:val="18"/>
        </w:rPr>
        <w:t> beneficiarii au primit finanțare pentru 5 proiecte de investiții în domeniul apicol cu o valoare publică contractată de peste 2,3 milion de euro. Prin această submăsură s-a acordat finanțare pentru unitățile de procesare, ambalare și comercializare produse apicole.</w:t>
      </w:r>
    </w:p>
    <w:p w14:paraId="6625BD5B" w14:textId="77777777" w:rsidR="00D82404" w:rsidRPr="00D82404" w:rsidRDefault="00D82404" w:rsidP="00C61121">
      <w:pPr>
        <w:pStyle w:val="NormalWeb"/>
        <w:spacing w:before="0" w:beforeAutospacing="0" w:after="150" w:afterAutospacing="0"/>
        <w:jc w:val="both"/>
        <w:rPr>
          <w:rFonts w:ascii="Verdana" w:hAnsi="Verdana"/>
          <w:color w:val="313131"/>
          <w:sz w:val="18"/>
          <w:szCs w:val="18"/>
        </w:rPr>
      </w:pPr>
      <w:r w:rsidRPr="00D82404">
        <w:rPr>
          <w:rFonts w:ascii="Verdana" w:hAnsi="Verdana"/>
          <w:color w:val="313131"/>
          <w:sz w:val="18"/>
          <w:szCs w:val="18"/>
        </w:rPr>
        <w:t>Totodată, prin </w:t>
      </w:r>
      <w:r w:rsidRPr="00D82404">
        <w:rPr>
          <w:rStyle w:val="Strong"/>
          <w:color w:val="313131"/>
        </w:rPr>
        <w:t>submăsura 9.1</w:t>
      </w:r>
      <w:r w:rsidRPr="00D82404">
        <w:rPr>
          <w:rStyle w:val="Emphasis"/>
          <w:color w:val="313131"/>
        </w:rPr>
        <w:t> „Înființarea grupurilor de producători în sectorul agricol” </w:t>
      </w:r>
      <w:r w:rsidRPr="00D82404">
        <w:rPr>
          <w:rFonts w:ascii="Verdana" w:hAnsi="Verdana"/>
          <w:color w:val="313131"/>
          <w:sz w:val="18"/>
          <w:szCs w:val="18"/>
        </w:rPr>
        <w:t>a fost finanțat un proiect privind promovarea și comercializarea în comun a producției de miere și produse apicole realizate de membrii unui grup de producători. Valoarea publică contractată a acestui proiect este de 107.200 euro, iar din grup fac parte nouă exploatații agricole.</w:t>
      </w:r>
    </w:p>
    <w:p w14:paraId="50DE3DA6" w14:textId="77777777" w:rsidR="00D82404" w:rsidRPr="00D82404" w:rsidRDefault="00D82404" w:rsidP="00C61121">
      <w:pPr>
        <w:pStyle w:val="NormalWeb"/>
        <w:spacing w:before="0" w:beforeAutospacing="0" w:after="150" w:afterAutospacing="0"/>
        <w:jc w:val="both"/>
        <w:rPr>
          <w:rFonts w:ascii="Verdana" w:hAnsi="Verdana"/>
          <w:color w:val="313131"/>
          <w:sz w:val="18"/>
          <w:szCs w:val="18"/>
        </w:rPr>
      </w:pPr>
      <w:r w:rsidRPr="00D82404">
        <w:rPr>
          <w:rStyle w:val="Strong"/>
          <w:color w:val="313131"/>
        </w:rPr>
        <w:lastRenderedPageBreak/>
        <w:t>Submăsura 16.4</w:t>
      </w:r>
      <w:r w:rsidRPr="00D82404">
        <w:rPr>
          <w:rStyle w:val="Emphasis"/>
          <w:color w:val="313131"/>
        </w:rPr>
        <w:t> „Sprijin acordat pentru cooperare orizontală și verticală între actorii din lanțul de aprovizionare în sectoarele agricol și pomicol” a finanțat 15</w:t>
      </w:r>
      <w:r w:rsidRPr="00D82404">
        <w:rPr>
          <w:rFonts w:ascii="Verdana" w:hAnsi="Verdana"/>
          <w:color w:val="313131"/>
          <w:sz w:val="18"/>
          <w:szCs w:val="18"/>
        </w:rPr>
        <w:t> proiecte care vizează cooperarea actorilor locali în vederea susținerii lanțurilor scurte de aprovizionare cu produse apicole. Cele 15 proiecte au primit finanțare pentru </w:t>
      </w:r>
      <w:r w:rsidRPr="00D82404">
        <w:rPr>
          <w:rStyle w:val="Strong"/>
          <w:color w:val="313131"/>
        </w:rPr>
        <w:t>74 membri</w:t>
      </w:r>
      <w:r w:rsidRPr="00D82404">
        <w:rPr>
          <w:rFonts w:ascii="Verdana" w:hAnsi="Verdana"/>
          <w:color w:val="313131"/>
          <w:sz w:val="18"/>
          <w:szCs w:val="18"/>
        </w:rPr>
        <w:t>, din care 43 sunt fermieri (exploatații care participă în proiectele de cooperare). Valoarea publică contractată a acestor  proiecte este de </w:t>
      </w:r>
      <w:r w:rsidRPr="00D82404">
        <w:rPr>
          <w:rStyle w:val="Strong"/>
          <w:color w:val="313131"/>
        </w:rPr>
        <w:t>1,27 milioane euro.</w:t>
      </w:r>
    </w:p>
    <w:p w14:paraId="78EFF13A" w14:textId="77777777" w:rsidR="00D82404" w:rsidRPr="00D82404" w:rsidRDefault="00D82404" w:rsidP="00D82404">
      <w:pPr>
        <w:pStyle w:val="Stilsursa"/>
      </w:pPr>
      <w:r w:rsidRPr="00D82404">
        <w:t>Sursa: APIA</w:t>
      </w:r>
    </w:p>
    <w:p w14:paraId="6A6F81DB" w14:textId="28063BCD" w:rsidR="00D82404" w:rsidRPr="00D82404" w:rsidRDefault="00D82404" w:rsidP="00D82404">
      <w:pPr>
        <w:pStyle w:val="separatorarticole"/>
      </w:pPr>
      <w:r>
        <w:t>*</w:t>
      </w:r>
    </w:p>
    <w:p w14:paraId="568A3300" w14:textId="77777777" w:rsidR="00B2284B" w:rsidRDefault="00B2284B" w:rsidP="00CB5F05">
      <w:pPr>
        <w:pStyle w:val="TitluArticolinINFOUE"/>
        <w:rPr>
          <w:lang w:eastAsia="ro-RO"/>
        </w:rPr>
      </w:pPr>
      <w:bookmarkStart w:id="139" w:name="_Toc104197268"/>
      <w:r>
        <w:t>Au fost semnate contractele pentru emiterea cardurilor necesare pentru plata ajutoarelor sociale</w:t>
      </w:r>
      <w:bookmarkEnd w:id="139"/>
    </w:p>
    <w:p w14:paraId="62221CA4" w14:textId="77777777" w:rsidR="00B2284B" w:rsidRPr="00CB5F05" w:rsidRDefault="00B2284B" w:rsidP="00C61121">
      <w:pPr>
        <w:pStyle w:val="NormalWeb"/>
        <w:spacing w:before="120" w:beforeAutospacing="0" w:after="0" w:afterAutospacing="0"/>
        <w:jc w:val="both"/>
        <w:rPr>
          <w:rFonts w:ascii="Verdana" w:hAnsi="Verdana"/>
          <w:sz w:val="18"/>
          <w:szCs w:val="18"/>
        </w:rPr>
      </w:pPr>
      <w:r w:rsidRPr="00CB5F05">
        <w:rPr>
          <w:rFonts w:ascii="Verdana" w:hAnsi="Verdana"/>
          <w:sz w:val="18"/>
          <w:szCs w:val="18"/>
        </w:rPr>
        <w:t>Marți, 17 mai 2022, au fost semnate contractele pentru emiterea cardurilor necesare pentru plata ajutoarelor sociale în valoare de 250 lei, acordate persoanelor defavorizate.</w:t>
      </w:r>
    </w:p>
    <w:p w14:paraId="51B1AC86" w14:textId="77777777" w:rsidR="00B2284B" w:rsidRPr="00CB5F05" w:rsidRDefault="00B2284B" w:rsidP="00C61121">
      <w:pPr>
        <w:pStyle w:val="NormalWeb"/>
        <w:spacing w:before="120" w:beforeAutospacing="0" w:after="0" w:afterAutospacing="0"/>
        <w:jc w:val="both"/>
        <w:rPr>
          <w:rFonts w:ascii="Verdana" w:hAnsi="Verdana"/>
          <w:sz w:val="18"/>
          <w:szCs w:val="18"/>
        </w:rPr>
      </w:pPr>
      <w:r w:rsidRPr="00CB5F05">
        <w:rPr>
          <w:rFonts w:ascii="Verdana" w:hAnsi="Verdana"/>
          <w:sz w:val="18"/>
          <w:szCs w:val="18"/>
        </w:rPr>
        <w:t>Banii, oferiți în patru tranșe până la sfârșitul acestui an, vor putea fi folosiți pentru cumpărarea de produse alimentare de bază și/sau pentru asigurarea de mese calde. Vor beneficia de ajutoare sociale aproximativ 3,1 milioane de persoane, din următoarele categorii:</w:t>
      </w:r>
    </w:p>
    <w:p w14:paraId="28346E91" w14:textId="77777777" w:rsidR="00B2284B" w:rsidRPr="00CB5F05" w:rsidRDefault="00B2284B" w:rsidP="00C61121">
      <w:pPr>
        <w:numPr>
          <w:ilvl w:val="0"/>
          <w:numId w:val="26"/>
        </w:numPr>
        <w:spacing w:before="40"/>
        <w:ind w:left="714" w:hanging="357"/>
        <w:jc w:val="both"/>
        <w:rPr>
          <w:szCs w:val="18"/>
        </w:rPr>
      </w:pPr>
      <w:r w:rsidRPr="00CB5F05">
        <w:rPr>
          <w:szCs w:val="18"/>
        </w:rPr>
        <w:t>pensionarii sistemului public de pensii, pensionarii aflați în evidența caselor de pensii sectoriale și beneficiarii de drepturi acordate în baza legilor cu caracter special, plătite de casele teritoriale de pensii/casele de pensii sectoriale, ale căror venituri nete lunare sunt mai mici sau egale cu 1.500 lei (număr estimat: peste 2,3 milioane persoane);</w:t>
      </w:r>
    </w:p>
    <w:p w14:paraId="7E827B00" w14:textId="77777777" w:rsidR="00B2284B" w:rsidRPr="00CB5F05" w:rsidRDefault="00B2284B" w:rsidP="00C61121">
      <w:pPr>
        <w:numPr>
          <w:ilvl w:val="0"/>
          <w:numId w:val="26"/>
        </w:numPr>
        <w:spacing w:before="40"/>
        <w:ind w:left="714" w:hanging="357"/>
        <w:jc w:val="both"/>
        <w:rPr>
          <w:szCs w:val="18"/>
        </w:rPr>
      </w:pPr>
      <w:r w:rsidRPr="00CB5F05">
        <w:rPr>
          <w:szCs w:val="18"/>
        </w:rPr>
        <w:t>persoanele (copii și adulți), încadrate în grad de handicap grav, accentuat sau mediu, ale căror venituri nete lunare proprii sunt mai mici sau egale cu 1.500 lei (număr estimat: peste 400.000 de persoane);</w:t>
      </w:r>
    </w:p>
    <w:p w14:paraId="6EB5B665" w14:textId="77777777" w:rsidR="00B2284B" w:rsidRPr="00CB5F05" w:rsidRDefault="00B2284B" w:rsidP="00C61121">
      <w:pPr>
        <w:numPr>
          <w:ilvl w:val="0"/>
          <w:numId w:val="26"/>
        </w:numPr>
        <w:spacing w:before="40"/>
        <w:ind w:left="714" w:hanging="357"/>
        <w:jc w:val="both"/>
        <w:rPr>
          <w:szCs w:val="18"/>
        </w:rPr>
      </w:pPr>
      <w:r w:rsidRPr="00CB5F05">
        <w:rPr>
          <w:szCs w:val="18"/>
        </w:rPr>
        <w:t>familiile cu cel puțin 2 copii în întreținere ale căror venituri nete lunare pe membru de familie sunt mai mici sau egale cu 600 lei;</w:t>
      </w:r>
    </w:p>
    <w:p w14:paraId="4C232339" w14:textId="77777777" w:rsidR="00B2284B" w:rsidRPr="00CB5F05" w:rsidRDefault="00B2284B" w:rsidP="00C61121">
      <w:pPr>
        <w:numPr>
          <w:ilvl w:val="0"/>
          <w:numId w:val="26"/>
        </w:numPr>
        <w:spacing w:before="40"/>
        <w:ind w:left="714" w:hanging="357"/>
        <w:jc w:val="both"/>
        <w:rPr>
          <w:szCs w:val="18"/>
        </w:rPr>
      </w:pPr>
      <w:r w:rsidRPr="00CB5F05">
        <w:rPr>
          <w:szCs w:val="18"/>
        </w:rPr>
        <w:t>familiile monoparentale ale căror venituri nete lunare pe membru de familie sunt mai mici sau egale cu 600 lei;</w:t>
      </w:r>
    </w:p>
    <w:p w14:paraId="7B0B1626" w14:textId="77777777" w:rsidR="00B2284B" w:rsidRPr="00CB5F05" w:rsidRDefault="00B2284B" w:rsidP="00C61121">
      <w:pPr>
        <w:numPr>
          <w:ilvl w:val="0"/>
          <w:numId w:val="26"/>
        </w:numPr>
        <w:spacing w:before="40"/>
        <w:ind w:left="714" w:hanging="357"/>
        <w:jc w:val="both"/>
        <w:rPr>
          <w:szCs w:val="18"/>
        </w:rPr>
      </w:pPr>
      <w:r w:rsidRPr="00CB5F05">
        <w:rPr>
          <w:szCs w:val="18"/>
        </w:rPr>
        <w:t>familiile care au stabilit dreptul la ajutorul social în condițiile Legii nr. 416/2001 privind venitul minim garantat, cu modificările și completările ulterioare.</w:t>
      </w:r>
    </w:p>
    <w:p w14:paraId="735DA4D7" w14:textId="77777777" w:rsidR="00B2284B" w:rsidRPr="00CB5F05" w:rsidRDefault="00B2284B" w:rsidP="00C61121">
      <w:pPr>
        <w:numPr>
          <w:ilvl w:val="0"/>
          <w:numId w:val="26"/>
        </w:numPr>
        <w:spacing w:before="40"/>
        <w:ind w:left="714" w:hanging="357"/>
        <w:jc w:val="both"/>
        <w:rPr>
          <w:szCs w:val="18"/>
        </w:rPr>
      </w:pPr>
      <w:r w:rsidRPr="00CB5F05">
        <w:rPr>
          <w:szCs w:val="18"/>
        </w:rPr>
        <w:t>persoanelor fără adăpost astfel cum acestea sunt reglementate potrivit prevederilor legale în vigoare.</w:t>
      </w:r>
    </w:p>
    <w:p w14:paraId="6A89C1D1" w14:textId="77777777" w:rsidR="00B2284B" w:rsidRPr="00CB5F05" w:rsidRDefault="00B2284B" w:rsidP="00C61121">
      <w:pPr>
        <w:pStyle w:val="NormalWeb"/>
        <w:spacing w:before="120" w:beforeAutospacing="0" w:after="0" w:afterAutospacing="0"/>
        <w:jc w:val="both"/>
        <w:rPr>
          <w:rFonts w:ascii="Verdana" w:hAnsi="Verdana"/>
          <w:sz w:val="18"/>
          <w:szCs w:val="18"/>
        </w:rPr>
      </w:pPr>
      <w:r w:rsidRPr="00CB5F05">
        <w:rPr>
          <w:rFonts w:ascii="Verdana" w:hAnsi="Verdana"/>
          <w:sz w:val="18"/>
          <w:szCs w:val="18"/>
        </w:rPr>
        <w:t>Livrarea cardurilor către beneficiari va fi efectuată de Compania Națională Poșta Română. În acest sens, în cursul zilei de astăzi, a fost semnată </w:t>
      </w:r>
      <w:r w:rsidRPr="00CB5F05">
        <w:rPr>
          <w:rStyle w:val="Emphasis"/>
        </w:rPr>
        <w:t>„Convenția de etichetare, colectare și distribuție a tichetelor sociale emise pe suport electronic”</w:t>
      </w:r>
      <w:r w:rsidRPr="00CB5F05">
        <w:rPr>
          <w:rFonts w:ascii="Verdana" w:hAnsi="Verdana"/>
          <w:sz w:val="18"/>
          <w:szCs w:val="18"/>
        </w:rPr>
        <w:t>, între MIPE și reprezentanții Poștei.</w:t>
      </w:r>
    </w:p>
    <w:p w14:paraId="41DD568D" w14:textId="77777777" w:rsidR="00B2284B" w:rsidRPr="00CB5F05" w:rsidRDefault="00B2284B" w:rsidP="00C61121">
      <w:pPr>
        <w:pStyle w:val="NormalWeb"/>
        <w:spacing w:before="120" w:beforeAutospacing="0" w:after="0" w:afterAutospacing="0"/>
        <w:jc w:val="both"/>
        <w:rPr>
          <w:rFonts w:ascii="Verdana" w:hAnsi="Verdana"/>
          <w:sz w:val="18"/>
          <w:szCs w:val="18"/>
        </w:rPr>
      </w:pPr>
      <w:r w:rsidRPr="00CB5F05">
        <w:rPr>
          <w:rFonts w:ascii="Verdana" w:hAnsi="Verdana"/>
          <w:sz w:val="18"/>
          <w:szCs w:val="18"/>
        </w:rPr>
        <w:t>Plata ajutoarelor sociale face parte din măsura temporară „Sprijin pentru România” și are un buget de 3,1 miliarde lei cu sursă de finanțare de la bugetul de stat (prin bugetul MIPE) și din fonduri europene nerambursabile (din Programul Operațional Incluziune și Demnitate Socială aferent perioadei de programare 2021-2027 și din Programul Operațional Ajutorarea Persoanelor Dezavantajate 2014-2020).</w:t>
      </w:r>
    </w:p>
    <w:p w14:paraId="634E4114" w14:textId="77777777" w:rsidR="00B2284B" w:rsidRPr="00CB5F05" w:rsidRDefault="00B2284B" w:rsidP="00CB5F05">
      <w:pPr>
        <w:pStyle w:val="Stilsursa"/>
      </w:pPr>
      <w:r w:rsidRPr="00CB5F05">
        <w:t>Sursa: MIPE</w:t>
      </w:r>
    </w:p>
    <w:p w14:paraId="1AD2A753" w14:textId="2D503F20" w:rsidR="00B2284B" w:rsidRPr="00CB5F05" w:rsidRDefault="00CB5F05" w:rsidP="00C61121">
      <w:pPr>
        <w:pStyle w:val="separatorarticole"/>
        <w:spacing w:before="40"/>
      </w:pPr>
      <w:r>
        <w:t>*</w:t>
      </w:r>
    </w:p>
    <w:p w14:paraId="31E2C314" w14:textId="77777777" w:rsidR="00C25F83" w:rsidRPr="00C25F83" w:rsidRDefault="00C25F83" w:rsidP="00C25F83">
      <w:pPr>
        <w:pStyle w:val="TitluArticolinINFOUE"/>
        <w:rPr>
          <w:lang w:eastAsia="ro-RO"/>
        </w:rPr>
      </w:pPr>
      <w:bookmarkStart w:id="140" w:name="_Toc104197269"/>
      <w:r w:rsidRPr="00C25F83">
        <w:t>POR Vest 2021-2027, avizat de Executiv și transmis către Comisia Europeană</w:t>
      </w:r>
      <w:bookmarkEnd w:id="140"/>
    </w:p>
    <w:p w14:paraId="5CC2C534" w14:textId="77777777" w:rsidR="00C25F83" w:rsidRPr="00C25F83" w:rsidRDefault="00C25F83" w:rsidP="00C25F83">
      <w:pPr>
        <w:pStyle w:val="NormalWeb"/>
        <w:spacing w:before="0" w:beforeAutospacing="0" w:after="150" w:afterAutospacing="0"/>
        <w:rPr>
          <w:rFonts w:ascii="Verdana" w:hAnsi="Verdana"/>
          <w:sz w:val="18"/>
          <w:szCs w:val="18"/>
        </w:rPr>
      </w:pPr>
      <w:r w:rsidRPr="00C25F83">
        <w:rPr>
          <w:rFonts w:ascii="Verdana" w:hAnsi="Verdana"/>
          <w:sz w:val="18"/>
          <w:szCs w:val="18"/>
        </w:rPr>
        <w:t>Guvernul României a avizat astăzi, 18 mai 2022, Programul Operațional Regional al Regiunii Vest, pentru exercițiul financiar 2021-2027, pregătit de către Agenția pentru Dezvoltare Regională Vest, în calitate de Autoritate de Management.</w:t>
      </w:r>
    </w:p>
    <w:p w14:paraId="37143A14" w14:textId="77777777" w:rsidR="00C25F83" w:rsidRPr="00C25F83" w:rsidRDefault="00C25F83" w:rsidP="00C25F83">
      <w:pPr>
        <w:pStyle w:val="NormalWeb"/>
        <w:spacing w:before="0" w:beforeAutospacing="0" w:after="150" w:afterAutospacing="0"/>
        <w:rPr>
          <w:rFonts w:ascii="Verdana" w:hAnsi="Verdana"/>
          <w:sz w:val="18"/>
          <w:szCs w:val="18"/>
        </w:rPr>
      </w:pPr>
      <w:r w:rsidRPr="00C25F83">
        <w:rPr>
          <w:rFonts w:ascii="Verdana" w:hAnsi="Verdana"/>
          <w:sz w:val="18"/>
          <w:szCs w:val="18"/>
        </w:rPr>
        <w:t>Conform comunicatului ADR Vest, se așteaptă ca programul să fie aprobat de Comisa Europeană în luna iulie a acestui an, iar resursele alocate regiuni pentru viitorul Program Operațional Regional vor depăși 1 miliard de euro.</w:t>
      </w:r>
    </w:p>
    <w:p w14:paraId="1E04D11B" w14:textId="77777777" w:rsidR="00C25F83" w:rsidRPr="00C25F83" w:rsidRDefault="00A53D90" w:rsidP="00C25F83">
      <w:pPr>
        <w:pStyle w:val="NormalWeb"/>
        <w:spacing w:before="0" w:beforeAutospacing="0" w:after="150" w:afterAutospacing="0"/>
        <w:rPr>
          <w:rFonts w:ascii="Verdana" w:hAnsi="Verdana"/>
          <w:sz w:val="18"/>
          <w:szCs w:val="18"/>
        </w:rPr>
      </w:pPr>
      <w:hyperlink r:id="rId23" w:tgtFrame="_blank" w:history="1">
        <w:r w:rsidR="00C25F83" w:rsidRPr="00C25F83">
          <w:rPr>
            <w:rStyle w:val="Emphasis"/>
            <w:b/>
            <w:bCs/>
            <w:u w:val="single"/>
          </w:rPr>
          <w:t>Descarcă</w:t>
        </w:r>
        <w:r w:rsidR="00C25F83" w:rsidRPr="00C25F83">
          <w:rPr>
            <w:rStyle w:val="Hyperlink"/>
            <w:color w:val="auto"/>
          </w:rPr>
          <w:t> </w:t>
        </w:r>
      </w:hyperlink>
      <w:r w:rsidR="00C25F83" w:rsidRPr="00C25F83">
        <w:rPr>
          <w:rFonts w:ascii="Verdana" w:hAnsi="Verdana"/>
          <w:sz w:val="18"/>
          <w:szCs w:val="18"/>
        </w:rPr>
        <w:t>versiunea POR Vest 2021-2027 avizată de Guvern</w:t>
      </w:r>
    </w:p>
    <w:p w14:paraId="39D6C95B" w14:textId="77777777" w:rsidR="00C25F83" w:rsidRPr="00C25F83" w:rsidRDefault="00C25F83" w:rsidP="00C25F83">
      <w:pPr>
        <w:pStyle w:val="Stilsursa"/>
      </w:pPr>
      <w:r w:rsidRPr="00C25F83">
        <w:t>Sursa: ADR Vest</w:t>
      </w:r>
    </w:p>
    <w:p w14:paraId="6E83C7D8" w14:textId="7FF78C02" w:rsidR="00C25F83" w:rsidRPr="00C25F83" w:rsidRDefault="00C25F83" w:rsidP="00C25F83">
      <w:pPr>
        <w:pStyle w:val="separatorarticole"/>
      </w:pPr>
      <w:r w:rsidRPr="00C25F83">
        <w:t>*</w:t>
      </w:r>
    </w:p>
    <w:p w14:paraId="3FE0AFC7" w14:textId="77777777" w:rsidR="00BE26ED" w:rsidRPr="00C25F83" w:rsidRDefault="00BE26ED" w:rsidP="00C25F83">
      <w:pPr>
        <w:pStyle w:val="TitluArticolinINFOUE"/>
        <w:rPr>
          <w:lang w:eastAsia="ro-RO"/>
        </w:rPr>
      </w:pPr>
      <w:bookmarkStart w:id="141" w:name="_Toc104197270"/>
      <w:r w:rsidRPr="00C25F83">
        <w:lastRenderedPageBreak/>
        <w:t>REPowerEU: Un nou plan în lucru la nivelul Comisiei Europene pentru sprijinirea soluțiilor și investițiilor în sectorul energetic</w:t>
      </w:r>
      <w:bookmarkEnd w:id="141"/>
    </w:p>
    <w:p w14:paraId="69354755"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Fonts w:ascii="Verdana" w:hAnsi="Verdana"/>
          <w:sz w:val="18"/>
          <w:szCs w:val="18"/>
        </w:rPr>
        <w:t>Vicepreședintele Comisiei Europene, Valdis Dombrovskis, </w:t>
      </w:r>
      <w:hyperlink r:id="rId24" w:tgtFrame="_blank" w:history="1">
        <w:r w:rsidRPr="00C25F83">
          <w:rPr>
            <w:rStyle w:val="Hyperlink"/>
            <w:color w:val="auto"/>
          </w:rPr>
          <w:t>a declarat ieri</w:t>
        </w:r>
      </w:hyperlink>
      <w:r w:rsidRPr="00C25F83">
        <w:rPr>
          <w:rFonts w:ascii="Verdana" w:hAnsi="Verdana"/>
          <w:sz w:val="18"/>
          <w:szCs w:val="18"/>
        </w:rPr>
        <w:t>, 17 mai 2022, faptul că statele membre își vor putea modifica planurile naționale de redresare și reziliență pentru a face față crizei energetice.</w:t>
      </w:r>
    </w:p>
    <w:p w14:paraId="3BFE6BC2"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Fonts w:ascii="Verdana" w:hAnsi="Verdana"/>
          <w:sz w:val="18"/>
          <w:szCs w:val="18"/>
        </w:rPr>
        <w:t>Această decizie vine în contextul în care Comisia Europeană pregătește planul REPowerEU, menit să asigure independența Europei de combustibili fosili din Rusia.</w:t>
      </w:r>
    </w:p>
    <w:p w14:paraId="2A78D030"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Fonts w:ascii="Verdana" w:hAnsi="Verdana"/>
          <w:sz w:val="18"/>
          <w:szCs w:val="18"/>
        </w:rPr>
        <w:t>Planul prezintă o serie de măsuri menite să răspundă creșterii prețurilor la energie în Europa și să reconstituie stocurile de gaze pentru iarna următoare. Acesta va spori reziliența sistemului energetic la nivelul UE și se va baza pe doi piloni: </w:t>
      </w:r>
      <w:r w:rsidRPr="00C25F83">
        <w:rPr>
          <w:rStyle w:val="Strong"/>
        </w:rPr>
        <w:t>diversificarea aprovizionării cu gaze</w:t>
      </w:r>
      <w:r w:rsidRPr="00C25F83">
        <w:rPr>
          <w:rFonts w:ascii="Verdana" w:hAnsi="Verdana"/>
          <w:sz w:val="18"/>
          <w:szCs w:val="18"/>
        </w:rPr>
        <w:t>, datorită creșterii importurilor de GNL și prin gazoducte de la furnizori din afara Rusiei și datorită creșterii producției și importurilor de biometan și hidrogen și </w:t>
      </w:r>
      <w:r w:rsidRPr="00C25F83">
        <w:rPr>
          <w:rStyle w:val="Strong"/>
        </w:rPr>
        <w:t>reducerea mai rapidă a utilizării combustibililor fosili</w:t>
      </w:r>
      <w:r w:rsidRPr="00C25F83">
        <w:rPr>
          <w:rFonts w:ascii="Verdana" w:hAnsi="Verdana"/>
          <w:sz w:val="18"/>
          <w:szCs w:val="18"/>
        </w:rPr>
        <w:t> în locuințele, clădirile, industria și sistemul energetic, prin îmbunătățirea eficienței energetice, prin recurgerea în mai mare măsură la sursele regenerabile de energie și la electrificare și prin eliminarea blocajelor din infrastructură.</w:t>
      </w:r>
    </w:p>
    <w:p w14:paraId="77D78BB0"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Fonts w:ascii="Verdana" w:hAnsi="Verdana"/>
          <w:sz w:val="18"/>
          <w:szCs w:val="18"/>
        </w:rPr>
        <w:t>De asemenea, Planul REPowerEU ar putea accelera implementarea în sectoarele industriale a </w:t>
      </w:r>
      <w:r w:rsidRPr="00C25F83">
        <w:rPr>
          <w:rStyle w:val="Strong"/>
        </w:rPr>
        <w:t>soluțiilor inovatoare bazate pe hidrogen și a energiei electrice din surse regenerabile competitive</w:t>
      </w:r>
      <w:r w:rsidRPr="00C25F83">
        <w:rPr>
          <w:rFonts w:ascii="Verdana" w:hAnsi="Verdana"/>
          <w:sz w:val="18"/>
          <w:szCs w:val="18"/>
        </w:rPr>
        <w:t> din punctul de vedere al costurilor. Comisia ar urma să </w:t>
      </w:r>
      <w:r w:rsidRPr="00C25F83">
        <w:rPr>
          <w:rStyle w:val="Strong"/>
        </w:rPr>
        <w:t>execute anticipat Fondul pentru inovare</w:t>
      </w:r>
      <w:r w:rsidRPr="00C25F83">
        <w:rPr>
          <w:rFonts w:ascii="Verdana" w:hAnsi="Verdana"/>
          <w:sz w:val="18"/>
          <w:szCs w:val="18"/>
        </w:rPr>
        <w:t> în scopul de a sprijini trecerea la electrificare și hidrogen, inclusiv prin intermediul unui sistem la nivelul întregii UE de contracte pentru diferență în materie de carbon, și în scopul de a spori capacitățile UE de producție de echipamente inovatoare cu emisii zero și emisii scăzute de dioxid de carbon, cum ar fi electrolizoarele, tehnologiile de producere de energie solară/eoliană de următoare generație și alte tehnologii.</w:t>
      </w:r>
    </w:p>
    <w:p w14:paraId="2316DF5E"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Fonts w:ascii="Verdana" w:hAnsi="Verdana"/>
          <w:sz w:val="18"/>
          <w:szCs w:val="18"/>
        </w:rPr>
        <w:t>Conform </w:t>
      </w:r>
      <w:hyperlink r:id="rId25" w:tgtFrame="_blank" w:history="1">
        <w:r w:rsidRPr="00C25F83">
          <w:rPr>
            <w:rStyle w:val="Hyperlink"/>
            <w:b/>
            <w:bCs/>
            <w:color w:val="auto"/>
          </w:rPr>
          <w:t>comunicării Comisiei către Parlamentul European, Consiliul European, Consiliu, Comitetul Economic și Social European și Comitetul Regiunilor cu privire la REPowerEU</w:t>
        </w:r>
      </w:hyperlink>
      <w:r w:rsidRPr="00C25F83">
        <w:rPr>
          <w:rFonts w:ascii="Verdana" w:hAnsi="Verdana"/>
          <w:sz w:val="18"/>
          <w:szCs w:val="18"/>
        </w:rPr>
        <w:t>, planul se va baza pe identificarea, în dialog cu statele membre, a celor mai </w:t>
      </w:r>
      <w:r w:rsidRPr="00C25F83">
        <w:rPr>
          <w:rStyle w:val="Strong"/>
        </w:rPr>
        <w:t>adecvate proiecte și reforme</w:t>
      </w:r>
      <w:r w:rsidRPr="00C25F83">
        <w:rPr>
          <w:rFonts w:ascii="Verdana" w:hAnsi="Verdana"/>
          <w:sz w:val="18"/>
          <w:szCs w:val="18"/>
        </w:rPr>
        <w:t>, la nivel național, regional și la nivelul UE. Acesta se va baza pe planurile naționale privind energia și clima și pe actualizările acestora, pe planurile de redresare și reziliență (PRR) existente, pe programele operaționale ale politicii de coeziune și pe orice alte planuri relevante, precum și pe nevoile în materie de reziliență climatică.</w:t>
      </w:r>
    </w:p>
    <w:p w14:paraId="3F83D983"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Fonts w:ascii="Verdana" w:hAnsi="Verdana"/>
          <w:sz w:val="18"/>
          <w:szCs w:val="18"/>
        </w:rPr>
        <w:t>Nevoile de finanțare vor fi evaluate pe baza unei cartografieri cuprinzătoare a nevoilor statelor membre, precum și a nevoilor de investiții transfrontaliere. Pentru a satisface aceste nevoi, ar trebui mobilizate toate resursele și instrumentele disponibile la nivel național și la nivelul UE, finanțarea publică trebuind să fie concepută de așa natură încât să atragă investiții private, se arată în documentul oficial.</w:t>
      </w:r>
    </w:p>
    <w:p w14:paraId="403C518E"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Style w:val="Strong"/>
        </w:rPr>
        <w:t>Pașii următori</w:t>
      </w:r>
    </w:p>
    <w:p w14:paraId="65117BB1" w14:textId="77777777" w:rsidR="00BE26ED" w:rsidRPr="00C25F83" w:rsidRDefault="00BE26ED" w:rsidP="00C61121">
      <w:pPr>
        <w:pStyle w:val="NormalWeb"/>
        <w:spacing w:before="0" w:beforeAutospacing="0" w:after="150" w:afterAutospacing="0"/>
        <w:jc w:val="both"/>
        <w:rPr>
          <w:rFonts w:ascii="Verdana" w:hAnsi="Verdana"/>
          <w:sz w:val="18"/>
          <w:szCs w:val="18"/>
        </w:rPr>
      </w:pPr>
      <w:r w:rsidRPr="00C25F83">
        <w:rPr>
          <w:rFonts w:ascii="Verdana" w:hAnsi="Verdana"/>
          <w:sz w:val="18"/>
          <w:szCs w:val="18"/>
        </w:rPr>
        <w:t>Comisia Europeană ar urma să elaboreze acest plan până la vară, în cooperare cu statele membre.</w:t>
      </w:r>
    </w:p>
    <w:p w14:paraId="4E1AD909" w14:textId="77777777" w:rsidR="00BE26ED" w:rsidRPr="00C25F83" w:rsidRDefault="00BE26ED" w:rsidP="00C25F83">
      <w:pPr>
        <w:pStyle w:val="Stilsursa"/>
      </w:pPr>
      <w:r w:rsidRPr="00C25F83">
        <w:t>Sursa: Comisia Europeană</w:t>
      </w:r>
    </w:p>
    <w:p w14:paraId="13B301A8" w14:textId="77051E6F" w:rsidR="00BE26ED" w:rsidRPr="00C25F83" w:rsidRDefault="00BE26ED" w:rsidP="00C25F83">
      <w:pPr>
        <w:pStyle w:val="separatorarticole"/>
      </w:pPr>
      <w:r w:rsidRPr="00C25F83">
        <w:t>*</w:t>
      </w:r>
    </w:p>
    <w:p w14:paraId="044BBCA0" w14:textId="77777777" w:rsidR="00BE26ED" w:rsidRPr="00C25F83" w:rsidRDefault="00BE26ED" w:rsidP="00C25F83">
      <w:pPr>
        <w:pStyle w:val="TitluArticolinINFOUE"/>
        <w:rPr>
          <w:lang w:eastAsia="ro-RO"/>
        </w:rPr>
      </w:pPr>
      <w:bookmarkStart w:id="142" w:name="_Toc104197271"/>
      <w:r w:rsidRPr="00C25F83">
        <w:t>Modificări la ghidul dedicat administratorilor de grant pe apelul aferent microgranturilor și granturilor pentru capital de lucru în domeniul agroalimentar</w:t>
      </w:r>
      <w:bookmarkEnd w:id="142"/>
    </w:p>
    <w:p w14:paraId="761C9DFA" w14:textId="77777777" w:rsidR="00BE26ED" w:rsidRPr="00C25F83" w:rsidRDefault="00BE26ED" w:rsidP="00C61121">
      <w:pPr>
        <w:pStyle w:val="NormalWeb"/>
        <w:spacing w:before="40" w:beforeAutospacing="0" w:after="0" w:afterAutospacing="0"/>
        <w:rPr>
          <w:rFonts w:ascii="Verdana" w:hAnsi="Verdana"/>
          <w:sz w:val="18"/>
          <w:szCs w:val="18"/>
        </w:rPr>
      </w:pPr>
      <w:r w:rsidRPr="00C25F83">
        <w:rPr>
          <w:rFonts w:ascii="Verdana" w:hAnsi="Verdana"/>
          <w:sz w:val="18"/>
          <w:szCs w:val="18"/>
        </w:rPr>
        <w:t>AM POC a publicat ieri, 17 mai 2022, două ordine aferente privind modificarea și completarea Ghidului solicitantului – Condiții specifice de accesare a fondurilor, tip de proiect „</w:t>
      </w:r>
      <w:r w:rsidRPr="00C25F83">
        <w:rPr>
          <w:rStyle w:val="Strong"/>
        </w:rPr>
        <w:t>Sprijin pentru entitățile din domeniul agroalimentar sub formă de microgranturi și granturi pentru capital de lucru</w:t>
      </w:r>
      <w:r w:rsidRPr="00C25F83">
        <w:rPr>
          <w:rFonts w:ascii="Verdana" w:hAnsi="Verdana"/>
          <w:sz w:val="18"/>
          <w:szCs w:val="18"/>
        </w:rPr>
        <w:t>”, respectiv ghidul dedicat administratorilor de grant.</w:t>
      </w:r>
    </w:p>
    <w:p w14:paraId="42E577A1" w14:textId="77777777" w:rsidR="00BE26ED" w:rsidRPr="00C25F83" w:rsidRDefault="00BE26ED" w:rsidP="00C25F83">
      <w:pPr>
        <w:pStyle w:val="NormalWeb"/>
        <w:spacing w:before="0" w:beforeAutospacing="0" w:after="150" w:afterAutospacing="0"/>
        <w:rPr>
          <w:rFonts w:ascii="Verdana" w:hAnsi="Verdana"/>
          <w:sz w:val="18"/>
          <w:szCs w:val="18"/>
        </w:rPr>
      </w:pPr>
      <w:r w:rsidRPr="00C25F83">
        <w:rPr>
          <w:rFonts w:ascii="Verdana" w:hAnsi="Verdana"/>
          <w:sz w:val="18"/>
          <w:szCs w:val="18"/>
        </w:rPr>
        <w:t>Ordinele prevăd, printre altele, modificări la nivelul indicatorilor de ralizare comuni și specifici programului, precum și alocării indicative.</w:t>
      </w:r>
    </w:p>
    <w:p w14:paraId="782B4668" w14:textId="77777777" w:rsidR="00BE26ED" w:rsidRPr="00C25F83" w:rsidRDefault="00A53D90" w:rsidP="00C25F83">
      <w:pPr>
        <w:pStyle w:val="NormalWeb"/>
        <w:spacing w:before="0" w:beforeAutospacing="0" w:after="150" w:afterAutospacing="0"/>
        <w:rPr>
          <w:rFonts w:ascii="Verdana" w:hAnsi="Verdana"/>
          <w:sz w:val="18"/>
          <w:szCs w:val="18"/>
        </w:rPr>
      </w:pPr>
      <w:hyperlink r:id="rId26" w:tgtFrame="_blank" w:history="1">
        <w:r w:rsidR="00BE26ED" w:rsidRPr="00C25F83">
          <w:rPr>
            <w:rStyle w:val="Emphasis"/>
            <w:b/>
            <w:bCs/>
            <w:u w:val="single"/>
          </w:rPr>
          <w:t>Descarcă</w:t>
        </w:r>
        <w:r w:rsidR="00BE26ED" w:rsidRPr="00C25F83">
          <w:rPr>
            <w:rStyle w:val="Hyperlink"/>
            <w:color w:val="auto"/>
          </w:rPr>
          <w:t> </w:t>
        </w:r>
      </w:hyperlink>
      <w:r w:rsidR="00BE26ED" w:rsidRPr="00C25F83">
        <w:rPr>
          <w:rFonts w:ascii="Verdana" w:hAnsi="Verdana"/>
          <w:sz w:val="18"/>
          <w:szCs w:val="18"/>
        </w:rPr>
        <w:t>Ordinul MIPE nr. 729/16.05.2022</w:t>
      </w:r>
    </w:p>
    <w:p w14:paraId="2F390BB4" w14:textId="77777777" w:rsidR="00BE26ED" w:rsidRPr="00C25F83" w:rsidRDefault="00A53D90" w:rsidP="00C25F83">
      <w:pPr>
        <w:pStyle w:val="NormalWeb"/>
        <w:spacing w:before="0" w:beforeAutospacing="0" w:after="150" w:afterAutospacing="0"/>
        <w:rPr>
          <w:rFonts w:ascii="Verdana" w:hAnsi="Verdana"/>
          <w:sz w:val="18"/>
          <w:szCs w:val="18"/>
        </w:rPr>
      </w:pPr>
      <w:hyperlink r:id="rId27" w:tgtFrame="_blank" w:history="1">
        <w:r w:rsidR="00BE26ED" w:rsidRPr="00C25F83">
          <w:rPr>
            <w:rStyle w:val="Emphasis"/>
            <w:b/>
            <w:bCs/>
            <w:u w:val="single"/>
          </w:rPr>
          <w:t>Descarcă</w:t>
        </w:r>
        <w:r w:rsidR="00BE26ED" w:rsidRPr="00C25F83">
          <w:rPr>
            <w:rStyle w:val="Hyperlink"/>
            <w:color w:val="auto"/>
          </w:rPr>
          <w:t> </w:t>
        </w:r>
      </w:hyperlink>
      <w:r w:rsidR="00BE26ED" w:rsidRPr="00C25F83">
        <w:rPr>
          <w:rFonts w:ascii="Verdana" w:hAnsi="Verdana"/>
          <w:sz w:val="18"/>
          <w:szCs w:val="18"/>
        </w:rPr>
        <w:t>Ordinul MIPE nr. 738/17.05.2022</w:t>
      </w:r>
    </w:p>
    <w:p w14:paraId="165C4831" w14:textId="77777777" w:rsidR="00BE26ED" w:rsidRPr="00C25F83" w:rsidRDefault="00BE26ED" w:rsidP="00C25F83">
      <w:pPr>
        <w:pStyle w:val="Stilsursa"/>
      </w:pPr>
      <w:r w:rsidRPr="00C25F83">
        <w:t>Sursa: MIPE</w:t>
      </w:r>
    </w:p>
    <w:p w14:paraId="270D4DF4" w14:textId="53C04F67" w:rsidR="00BE26ED" w:rsidRPr="00C25F83" w:rsidRDefault="00BE26ED" w:rsidP="00C25F83">
      <w:pPr>
        <w:pStyle w:val="separatorarticole"/>
      </w:pPr>
      <w:r w:rsidRPr="00C25F83">
        <w:t>*</w:t>
      </w:r>
    </w:p>
    <w:p w14:paraId="7B104ECF" w14:textId="77777777" w:rsidR="00BE26ED" w:rsidRPr="00C25F83" w:rsidRDefault="00BE26ED" w:rsidP="00C61121">
      <w:pPr>
        <w:pStyle w:val="TitluArticolinINFOUE"/>
        <w:jc w:val="both"/>
        <w:rPr>
          <w:lang w:eastAsia="ro-RO"/>
        </w:rPr>
      </w:pPr>
      <w:bookmarkStart w:id="143" w:name="_Toc104197272"/>
      <w:r w:rsidRPr="00C25F83">
        <w:lastRenderedPageBreak/>
        <w:t>Aproximativ 779 de mii de cereri unice depuse în cadrul Campaniei depunere Cereri de plată 2022</w:t>
      </w:r>
      <w:bookmarkEnd w:id="143"/>
    </w:p>
    <w:p w14:paraId="5C52A626"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Fonts w:ascii="Verdana" w:hAnsi="Verdana"/>
          <w:sz w:val="18"/>
          <w:szCs w:val="18"/>
        </w:rPr>
        <w:t>Agenția de Plăți si Intervenție pentru Agricultură (APIA) a transmis ieri, 17 mai 2022,  la cunoștința încheierea Campaniei de depunere fără penalități a Cererilor unice de plată. în perioada 01 martie  – 16 mai 2022, au fost depuse 778.552 cereri unice de plată pentru o suprafață de 9.902.113 hectare.</w:t>
      </w:r>
    </w:p>
    <w:p w14:paraId="69BCEA33"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Fonts w:ascii="Verdana" w:hAnsi="Verdana"/>
          <w:sz w:val="18"/>
          <w:szCs w:val="18"/>
        </w:rPr>
        <w:t>La o analiză comparativă a datelor, față de anul anterior numărul cererilor a scăzut cu 36.739 cereri, în timp ce suprafața agricolă a crescut cu 9.844 ha, se arată în comunicat.</w:t>
      </w:r>
    </w:p>
    <w:p w14:paraId="0F71A409" w14:textId="77777777" w:rsidR="00BE26ED" w:rsidRPr="00C25F83" w:rsidRDefault="00BE26ED" w:rsidP="00C61121">
      <w:pPr>
        <w:pStyle w:val="NormalWeb"/>
        <w:spacing w:before="40" w:beforeAutospacing="0" w:after="0" w:afterAutospacing="0"/>
        <w:jc w:val="both"/>
        <w:rPr>
          <w:rFonts w:ascii="Verdana" w:hAnsi="Verdana"/>
          <w:sz w:val="18"/>
          <w:szCs w:val="18"/>
        </w:rPr>
      </w:pPr>
      <w:r w:rsidRPr="00C25F83">
        <w:rPr>
          <w:rFonts w:ascii="Verdana" w:hAnsi="Verdana"/>
          <w:sz w:val="18"/>
          <w:szCs w:val="18"/>
        </w:rPr>
        <w:t>De asemenea, Campania de primire a cererilor unice de plată continuă timp de 25 de zile, respectiv până la data de 10 iunie 2022 inclusiv, cu aplicarea de penalități de 1% pentru fiecare zi de întârziere.</w:t>
      </w:r>
    </w:p>
    <w:p w14:paraId="15AEAA44" w14:textId="77777777" w:rsidR="00BE26ED" w:rsidRPr="00C25F83" w:rsidRDefault="00BE26ED" w:rsidP="00C25F83">
      <w:pPr>
        <w:pStyle w:val="Stilsursa"/>
      </w:pPr>
      <w:r w:rsidRPr="00C25F83">
        <w:t>Sursa: APIA</w:t>
      </w:r>
    </w:p>
    <w:p w14:paraId="11995E1A" w14:textId="68C6A0A2" w:rsidR="00BE26ED" w:rsidRPr="00C25F83" w:rsidRDefault="00BE26ED" w:rsidP="00C25F83">
      <w:pPr>
        <w:pStyle w:val="separatorarticole"/>
      </w:pPr>
      <w:r w:rsidRPr="00C25F83">
        <w:t>*</w:t>
      </w:r>
    </w:p>
    <w:p w14:paraId="6CCB722C" w14:textId="77777777" w:rsidR="00D37159" w:rsidRPr="00C25F83" w:rsidRDefault="00D37159" w:rsidP="00C25F83">
      <w:pPr>
        <w:pStyle w:val="TitluArticolinINFOUE"/>
        <w:rPr>
          <w:lang w:eastAsia="ro-RO"/>
        </w:rPr>
      </w:pPr>
      <w:bookmarkStart w:id="144" w:name="_Toc104197273"/>
      <w:r w:rsidRPr="00C25F83">
        <w:t>Previziuni economice de primăvară ale Comisiei Europene: Economia României urmează să încetinească până la 2,6% în 2022</w:t>
      </w:r>
      <w:bookmarkEnd w:id="144"/>
    </w:p>
    <w:p w14:paraId="0566CBAC" w14:textId="77777777" w:rsidR="00D37159" w:rsidRPr="00C25F83" w:rsidRDefault="00D37159" w:rsidP="00C61121">
      <w:pPr>
        <w:pStyle w:val="NormalWeb"/>
        <w:spacing w:before="120" w:beforeAutospacing="0" w:after="0" w:afterAutospacing="0"/>
        <w:jc w:val="both"/>
        <w:rPr>
          <w:rFonts w:ascii="Verdana" w:hAnsi="Verdana"/>
          <w:sz w:val="18"/>
          <w:szCs w:val="18"/>
        </w:rPr>
      </w:pPr>
      <w:r w:rsidRPr="00C25F83">
        <w:rPr>
          <w:rFonts w:ascii="Verdana" w:hAnsi="Verdana"/>
          <w:sz w:val="18"/>
          <w:szCs w:val="18"/>
        </w:rPr>
        <w:t>După o creștere puternică în 2021, economia României urmează să încetinească până la 2,6 % în 2022, deoarece inflația ridicată erodează venitul disponibil, iar războiul din Ucraina afectează sentimentul economic, lanțurile de aprovizionare și, în cele din urmă, investițiile, conform setului de previziuni economice de primăvară ale Comisiei Europene.</w:t>
      </w:r>
    </w:p>
    <w:p w14:paraId="53A040AD" w14:textId="77777777" w:rsidR="00D37159" w:rsidRPr="00C25F83" w:rsidRDefault="00D37159" w:rsidP="00C61121">
      <w:pPr>
        <w:pStyle w:val="NormalWeb"/>
        <w:spacing w:before="120" w:beforeAutospacing="0" w:after="0" w:afterAutospacing="0"/>
        <w:jc w:val="both"/>
        <w:rPr>
          <w:rFonts w:ascii="Verdana" w:hAnsi="Verdana"/>
          <w:sz w:val="18"/>
          <w:szCs w:val="18"/>
        </w:rPr>
      </w:pPr>
      <w:r w:rsidRPr="00C25F83">
        <w:rPr>
          <w:rFonts w:ascii="Verdana" w:hAnsi="Verdana"/>
          <w:sz w:val="18"/>
          <w:szCs w:val="18"/>
        </w:rPr>
        <w:t>Se preconizează o ușoară accelerare a creșterii în 2023, odată cu o posibilă scădere a inflației. Se estimează că șomajul va rămâne la aproximativ 5,5%, în timp ce prețurile vor atinge un nivel maxim în acest an, care va scădea treptat în 2023. Se preconizează că deficitul public va atinge 7,5% din PIB în 2022, urmând să scadă până la 6,3% în 2023, astfel încât ponderea datoriei în PIB va ajunge la 52,6% până în 2023.</w:t>
      </w:r>
    </w:p>
    <w:p w14:paraId="45DE19B8" w14:textId="77777777" w:rsidR="00D37159" w:rsidRPr="00C25F83" w:rsidRDefault="00D37159" w:rsidP="00C61121">
      <w:pPr>
        <w:pStyle w:val="NormalWeb"/>
        <w:spacing w:before="120" w:beforeAutospacing="0" w:after="0" w:afterAutospacing="0"/>
        <w:jc w:val="both"/>
        <w:rPr>
          <w:rFonts w:ascii="Verdana" w:hAnsi="Verdana"/>
          <w:sz w:val="18"/>
          <w:szCs w:val="18"/>
        </w:rPr>
      </w:pPr>
      <w:r w:rsidRPr="00C25F83">
        <w:rPr>
          <w:rStyle w:val="Emphasis"/>
          <w:b/>
          <w:bCs/>
          <w:u w:val="single"/>
        </w:rPr>
        <w:t>Descarcă</w:t>
      </w:r>
      <w:r w:rsidRPr="00C25F83">
        <w:rPr>
          <w:rFonts w:ascii="Verdana" w:hAnsi="Verdana"/>
          <w:sz w:val="18"/>
          <w:szCs w:val="18"/>
        </w:rPr>
        <w:t> fișa de țară pentru România</w:t>
      </w:r>
    </w:p>
    <w:p w14:paraId="748D7EC2" w14:textId="77777777" w:rsidR="00D37159" w:rsidRPr="00C25F83" w:rsidRDefault="00D37159" w:rsidP="00C61121">
      <w:pPr>
        <w:pStyle w:val="NormalWeb"/>
        <w:spacing w:before="120" w:beforeAutospacing="0" w:after="0" w:afterAutospacing="0"/>
        <w:jc w:val="both"/>
        <w:rPr>
          <w:rFonts w:ascii="Verdana" w:hAnsi="Verdana"/>
          <w:sz w:val="18"/>
          <w:szCs w:val="18"/>
        </w:rPr>
      </w:pPr>
      <w:r w:rsidRPr="00C25F83">
        <w:rPr>
          <w:rFonts w:ascii="Verdana" w:hAnsi="Verdana"/>
          <w:sz w:val="18"/>
          <w:szCs w:val="18"/>
        </w:rPr>
        <w:t>Creșterea PIB-ului real, atât în UE, cât și în zona euro, este estimată în prezent la 2,7% în 2022 și la 2,3% în 2023, în scădere de la 4,0%, respectiv 2,8% (2,7% în zona euro) în previziunile intermediare din iarna anului 2022. Declinul din 2022 trebuie interpretat în contextul dinamicii creșterii economice din primăvara și vara anului trecut, care adaugă aproximativ 2 puncte procentuale la ritmul anual de creștere pentru acest an. Creșterea producției din cursul anului s-a redus de la 2,1% la 0,8%.</w:t>
      </w:r>
    </w:p>
    <w:p w14:paraId="7344CD49" w14:textId="77777777" w:rsidR="00D37159" w:rsidRPr="00C25F83" w:rsidRDefault="00D37159" w:rsidP="00C61121">
      <w:pPr>
        <w:pStyle w:val="NormalWeb"/>
        <w:spacing w:before="120" w:beforeAutospacing="0" w:after="0" w:afterAutospacing="0"/>
        <w:jc w:val="both"/>
        <w:rPr>
          <w:rFonts w:ascii="Verdana" w:hAnsi="Verdana"/>
          <w:sz w:val="18"/>
          <w:szCs w:val="18"/>
        </w:rPr>
      </w:pPr>
      <w:r w:rsidRPr="00C25F83">
        <w:rPr>
          <w:rFonts w:ascii="Verdana" w:hAnsi="Verdana"/>
          <w:sz w:val="18"/>
          <w:szCs w:val="18"/>
        </w:rPr>
        <w:t>Ritmul inflației s-a accelerat de la începutul anului 2021. De la 4,6% an la an în ultimul trimestru din 2021, aceasta a crescut la 6,1% în primul trimestru din 2022. Inflația totală din zona euro a crescut la 7,5% în luna aprilie, cea mai mare rată din istoria uniunii monetare.</w:t>
      </w:r>
    </w:p>
    <w:p w14:paraId="3184709E" w14:textId="77777777" w:rsidR="00D37159" w:rsidRPr="00C25F83" w:rsidRDefault="00D37159" w:rsidP="00C61121">
      <w:pPr>
        <w:pStyle w:val="NormalWeb"/>
        <w:spacing w:before="120" w:beforeAutospacing="0" w:after="0" w:afterAutospacing="0"/>
        <w:jc w:val="both"/>
        <w:rPr>
          <w:rFonts w:ascii="Verdana" w:hAnsi="Verdana"/>
          <w:sz w:val="18"/>
          <w:szCs w:val="18"/>
        </w:rPr>
      </w:pPr>
      <w:r w:rsidRPr="00C25F83">
        <w:rPr>
          <w:rFonts w:ascii="Verdana" w:hAnsi="Verdana"/>
          <w:sz w:val="18"/>
          <w:szCs w:val="18"/>
        </w:rPr>
        <w:t>Inflația din zona euro este estimată la 6,1% în 2022, ea urmând să scadă la 2,7% în 2023. Pentru 2022 în ansamblu, aceasta reprezintă o revizuire ascendentă considerabilă, în comparație cu previziunile intermediare din iarna anului 2022 (3,5%). Se preconizează că inflația va atinge un nivel maxim de 6,9% în al doilea trimestru al acestui an, ea urmând apoi să scadă treptat. Pentru UE, se preconizează că inflația va crește de la 2,9 % în 2021 la 6,8 % în 2022 și că va scădea din nou la 3,2% în 2023. Inflația medie de bază este estimată la peste 3% în 2022 și 2023, atât în UE, cât și în zona euro.</w:t>
      </w:r>
    </w:p>
    <w:p w14:paraId="40E1240E" w14:textId="77777777" w:rsidR="00D37159" w:rsidRPr="00C25F83" w:rsidRDefault="00D37159" w:rsidP="00C61121">
      <w:pPr>
        <w:pStyle w:val="NormalWeb"/>
        <w:spacing w:before="120" w:beforeAutospacing="0" w:after="0" w:afterAutospacing="0"/>
        <w:jc w:val="both"/>
        <w:rPr>
          <w:rFonts w:ascii="Verdana" w:hAnsi="Verdana"/>
          <w:sz w:val="18"/>
          <w:szCs w:val="18"/>
        </w:rPr>
      </w:pPr>
      <w:r w:rsidRPr="00C25F83">
        <w:rPr>
          <w:rFonts w:ascii="Verdana" w:hAnsi="Verdana"/>
          <w:sz w:val="18"/>
          <w:szCs w:val="18"/>
        </w:rPr>
        <w:t>Piața muncii intră în noua criză de pe o bază solidă. În 2021, în economia Uniunii au fost create peste 5,2 milioane de locuri de muncă, ceea ce a atras un număr suplimentar de aproape 3,5 milioane de persoane pe piața muncii. În plus, numărul șomerilor a scăzut cu aproape 1,8 milioane de persoane. Ratele șomajului la finele anului 2021 au scăzut sub nivelurile record anterioare.</w:t>
      </w:r>
    </w:p>
    <w:p w14:paraId="183111F1" w14:textId="77777777" w:rsidR="00D37159" w:rsidRPr="00C25F83" w:rsidRDefault="00D37159" w:rsidP="00C61121">
      <w:pPr>
        <w:pStyle w:val="NormalWeb"/>
        <w:spacing w:before="120" w:beforeAutospacing="0" w:after="0" w:afterAutospacing="0"/>
        <w:jc w:val="both"/>
        <w:rPr>
          <w:rFonts w:ascii="Verdana" w:hAnsi="Verdana"/>
          <w:sz w:val="18"/>
          <w:szCs w:val="18"/>
        </w:rPr>
      </w:pPr>
      <w:r w:rsidRPr="00C25F83">
        <w:rPr>
          <w:rFonts w:ascii="Verdana" w:hAnsi="Verdana"/>
          <w:sz w:val="18"/>
          <w:szCs w:val="18"/>
        </w:rPr>
        <w:t>Conform previziunilor, condițiile de pe piața muncii vor continua să se amelioreze. Se estimează că ocuparea forței de muncă din UE va crește cu 1,2% anul acesta, deși această rată anuală de creștere este stimulată de dinamica puternică din a doua jumătate a anului trecut. Se anticipează că refugiații de război ucraineni din Uniune vor intra pe piețele muncii doar treptat, cu efecte tangibile ce vor deveni vizibile abia începând cu anul viitor.</w:t>
      </w:r>
    </w:p>
    <w:p w14:paraId="2D8A10C3" w14:textId="77777777" w:rsidR="00D37159" w:rsidRPr="00C25F83" w:rsidRDefault="00D37159" w:rsidP="00C61121">
      <w:pPr>
        <w:pStyle w:val="NormalWeb"/>
        <w:spacing w:before="120" w:beforeAutospacing="0" w:after="0" w:afterAutospacing="0"/>
        <w:jc w:val="both"/>
        <w:rPr>
          <w:rFonts w:ascii="Verdana" w:hAnsi="Verdana"/>
          <w:sz w:val="18"/>
          <w:szCs w:val="18"/>
        </w:rPr>
      </w:pPr>
      <w:r w:rsidRPr="00C25F83">
        <w:rPr>
          <w:rFonts w:ascii="Verdana" w:hAnsi="Verdana"/>
          <w:sz w:val="18"/>
          <w:szCs w:val="18"/>
        </w:rPr>
        <w:t>Ratele șomajului ar urma să scadă, conform previziunilor, până la 6,7% în acest an și 6,5% în 2023 în UE, în timp ce în zona euro ele ar urma să atingă 7,3% în 2022 și 7,0% în 2023.</w:t>
      </w:r>
    </w:p>
    <w:p w14:paraId="24B1C3E3" w14:textId="77777777" w:rsidR="00D37159" w:rsidRPr="00C25F83" w:rsidRDefault="00D37159" w:rsidP="00C25F83">
      <w:pPr>
        <w:pStyle w:val="Stilsursa"/>
      </w:pPr>
      <w:r w:rsidRPr="00C25F83">
        <w:t>Sursa: Reprezentanța Comisiei Europene în România</w:t>
      </w:r>
    </w:p>
    <w:p w14:paraId="0EFF33CF" w14:textId="52B49409" w:rsidR="00D37159" w:rsidRPr="00C25F83" w:rsidRDefault="00D37159" w:rsidP="00C25F83">
      <w:pPr>
        <w:pStyle w:val="separatorarticole"/>
      </w:pPr>
      <w:r w:rsidRPr="00C25F83">
        <w:t>*</w:t>
      </w:r>
    </w:p>
    <w:p w14:paraId="76129E2A" w14:textId="77777777" w:rsidR="00213439" w:rsidRPr="00C25F83" w:rsidRDefault="00213439" w:rsidP="00C25F83">
      <w:pPr>
        <w:pStyle w:val="TitluArticolinINFOUE"/>
        <w:rPr>
          <w:lang w:eastAsia="ro-RO"/>
        </w:rPr>
      </w:pPr>
      <w:bookmarkStart w:id="145" w:name="_Toc104197274"/>
      <w:r w:rsidRPr="00C25F83">
        <w:lastRenderedPageBreak/>
        <w:t>PNDR: Peste 60 de miliarde de euro plătite în ultima lună beneficiarilor FEADR</w:t>
      </w:r>
      <w:bookmarkEnd w:id="145"/>
    </w:p>
    <w:p w14:paraId="20AF8E69" w14:textId="77777777" w:rsidR="00213439" w:rsidRPr="00C25F83" w:rsidRDefault="00213439" w:rsidP="00C61121">
      <w:pPr>
        <w:pStyle w:val="NormalWeb"/>
        <w:spacing w:before="0" w:beforeAutospacing="0" w:after="150" w:afterAutospacing="0"/>
        <w:jc w:val="both"/>
        <w:rPr>
          <w:rFonts w:ascii="Verdana" w:hAnsi="Verdana"/>
          <w:sz w:val="18"/>
          <w:szCs w:val="18"/>
        </w:rPr>
      </w:pPr>
      <w:r w:rsidRPr="00C25F83">
        <w:rPr>
          <w:rFonts w:ascii="Verdana" w:hAnsi="Verdana"/>
          <w:sz w:val="18"/>
          <w:szCs w:val="18"/>
        </w:rPr>
        <w:t>Beneficiarii Programului Național de Dezvoltare Rurală 2014 – 2020 au primit, în perioada 14 aprilie – 10 mai 2022, fonduri europene nerambursabile în valoare totală de 60,71 milioane euro, potrivit unui comunicat oficial al Agenției pentru Finanțarea Investițiilor Rurale de vineri, 13 mai 2022. </w:t>
      </w:r>
    </w:p>
    <w:p w14:paraId="09F719EE" w14:textId="77777777" w:rsidR="00213439" w:rsidRPr="00C25F83" w:rsidRDefault="00213439" w:rsidP="00C61121">
      <w:pPr>
        <w:pStyle w:val="NormalWeb"/>
        <w:spacing w:before="0" w:beforeAutospacing="0" w:after="150" w:afterAutospacing="0"/>
        <w:jc w:val="both"/>
        <w:rPr>
          <w:rFonts w:ascii="Verdana" w:hAnsi="Verdana"/>
          <w:sz w:val="18"/>
          <w:szCs w:val="18"/>
        </w:rPr>
      </w:pPr>
      <w:r w:rsidRPr="00C25F83">
        <w:rPr>
          <w:rFonts w:ascii="Verdana" w:hAnsi="Verdana"/>
          <w:sz w:val="18"/>
          <w:szCs w:val="18"/>
        </w:rPr>
        <w:t>Prin aceste plăți, AFIR decontează cheltuielile realizate în cadrul proiectelor de investiții în agricultură și dezvoltare rurală, precum și angajamente pentru măsurile de mediu și climă.</w:t>
      </w:r>
    </w:p>
    <w:p w14:paraId="67AA7362" w14:textId="77777777" w:rsidR="00213439" w:rsidRPr="00C25F83" w:rsidRDefault="00213439" w:rsidP="00C61121">
      <w:pPr>
        <w:pStyle w:val="NormalWeb"/>
        <w:spacing w:before="0" w:beforeAutospacing="0" w:after="150" w:afterAutospacing="0"/>
        <w:jc w:val="both"/>
        <w:rPr>
          <w:rFonts w:ascii="Verdana" w:hAnsi="Verdana"/>
          <w:sz w:val="18"/>
          <w:szCs w:val="18"/>
        </w:rPr>
      </w:pPr>
      <w:r w:rsidRPr="00C25F83">
        <w:rPr>
          <w:rFonts w:ascii="Verdana" w:hAnsi="Verdana"/>
          <w:sz w:val="18"/>
          <w:szCs w:val="18"/>
        </w:rPr>
        <w:t>Pentru finanțarea investițiilor în exploatații agricole, în unități de procesare, dar și pentru dezvoltarea mediului rural, AFIR a alimentat conturile beneficiarilor cu suma de 31,7 milioane euro. Din această sumă, 22,81 milioane euro este plătită din FEADR – Fondul European Agricol pentru Dezvoltare Rurală, iar 6,71 milioane euro din EURI – Instrumentul de Redresare al Uniunii Europene. Restul sumei, respectiv 2,18 milioane euro reprezintă Taxa pe Valoare Adăugată.</w:t>
      </w:r>
    </w:p>
    <w:p w14:paraId="11197216" w14:textId="77777777" w:rsidR="00213439" w:rsidRPr="00C25F83" w:rsidRDefault="00213439" w:rsidP="00C61121">
      <w:pPr>
        <w:pStyle w:val="NormalWeb"/>
        <w:spacing w:before="0" w:beforeAutospacing="0" w:after="150" w:afterAutospacing="0"/>
        <w:jc w:val="both"/>
        <w:rPr>
          <w:rFonts w:ascii="Verdana" w:hAnsi="Verdana"/>
          <w:sz w:val="18"/>
          <w:szCs w:val="18"/>
        </w:rPr>
      </w:pPr>
      <w:r w:rsidRPr="00C25F83">
        <w:rPr>
          <w:rFonts w:ascii="Verdana" w:hAnsi="Verdana"/>
          <w:sz w:val="18"/>
          <w:szCs w:val="18"/>
        </w:rPr>
        <w:t>În același timp, experții AFIR au autorizat și au transferat către APIA suma de 29 milioane euro, pentru a se efectua plățile către beneficiarii FEADR. Aceste fonduri au ajuns deja în conturile fermierilor care beneficiază de finanțarea acordată prin Măsurile 10 „Agro-mediu și climă”, 11 „Agricultura ecologică”, 13 „Plăți pentru zone care se confruntă cu constrângeri naturale sau cu alte constrângeri specifice”, 14 „Bunăstarea animalelor” și ai 15 – „Plăți pentru angajamente de silvomediu”, potrivit comunicatului oficial. </w:t>
      </w:r>
    </w:p>
    <w:p w14:paraId="183A76A8" w14:textId="77777777" w:rsidR="00213439" w:rsidRPr="00C25F83" w:rsidRDefault="00213439" w:rsidP="00C61121">
      <w:pPr>
        <w:pStyle w:val="NormalWeb"/>
        <w:spacing w:before="0" w:beforeAutospacing="0" w:after="150" w:afterAutospacing="0"/>
        <w:jc w:val="both"/>
        <w:rPr>
          <w:rFonts w:ascii="Verdana" w:hAnsi="Verdana"/>
          <w:sz w:val="18"/>
          <w:szCs w:val="18"/>
        </w:rPr>
      </w:pPr>
      <w:r w:rsidRPr="00C25F83">
        <w:rPr>
          <w:rFonts w:ascii="Verdana" w:hAnsi="Verdana"/>
          <w:sz w:val="18"/>
          <w:szCs w:val="18"/>
        </w:rPr>
        <w:t>Fondurile publice nerambursabile sunt acordate în urma verificării și autorizării la plată de către experții AFIR, în baza cererilor de plată primite de la beneficiarii publici și privați ai Fondului European Agricol pentru Dezvoltare Rurală, în conformitate cu contractele de finanțare încheiate și angajamentele asumate.</w:t>
      </w:r>
    </w:p>
    <w:p w14:paraId="15E6DB82" w14:textId="77777777" w:rsidR="00213439" w:rsidRPr="00C25F83" w:rsidRDefault="00213439" w:rsidP="00C25F83">
      <w:pPr>
        <w:pStyle w:val="Stilsursa"/>
      </w:pPr>
      <w:r w:rsidRPr="00C25F83">
        <w:t>Sursa: AFIR </w:t>
      </w:r>
    </w:p>
    <w:p w14:paraId="1AD0267B" w14:textId="77777777" w:rsidR="00607517" w:rsidRDefault="00607517" w:rsidP="00607517">
      <w:pPr>
        <w:spacing w:before="240"/>
        <w:ind w:right="198"/>
        <w:jc w:val="center"/>
        <w:rPr>
          <w:color w:val="9999FF"/>
          <w:spacing w:val="40"/>
          <w:sz w:val="16"/>
          <w:szCs w:val="16"/>
        </w:rPr>
      </w:pPr>
      <w:bookmarkStart w:id="146" w:name="_Toc75263875"/>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2C38786D" w14:textId="1762B6B1" w:rsidR="00FA2036" w:rsidRDefault="00FA2036" w:rsidP="00FA2036">
      <w:pPr>
        <w:pStyle w:val="Consultare"/>
        <w:rPr>
          <w:color w:val="538135" w:themeColor="accent6" w:themeShade="BF"/>
        </w:rPr>
      </w:pPr>
      <w:bookmarkStart w:id="147" w:name="_Toc104197275"/>
      <w:r w:rsidRPr="00FA2036">
        <w:rPr>
          <w:color w:val="538135" w:themeColor="accent6" w:themeShade="BF"/>
        </w:rPr>
        <w:t>PNRR</w:t>
      </w:r>
      <w:bookmarkEnd w:id="147"/>
    </w:p>
    <w:p w14:paraId="279927E5" w14:textId="77777777" w:rsidR="00CB5F05" w:rsidRPr="00CB5F05" w:rsidRDefault="00CB5F05" w:rsidP="00CB5F05">
      <w:pPr>
        <w:pStyle w:val="TitluArticolinINFOUE"/>
        <w:rPr>
          <w:lang w:eastAsia="ro-RO"/>
        </w:rPr>
      </w:pPr>
      <w:bookmarkStart w:id="148" w:name="_Toc104197276"/>
      <w:r w:rsidRPr="00CB5F05">
        <w:t>PNRR: Cadrul pentru derularea instrumentelor financiare pentru digitalizare, acțiune climatică și alte domenii, în consultare publică!</w:t>
      </w:r>
      <w:bookmarkEnd w:id="148"/>
    </w:p>
    <w:p w14:paraId="38591F3C" w14:textId="77777777" w:rsidR="00CB5F05" w:rsidRPr="00CB5F05" w:rsidRDefault="00CB5F05" w:rsidP="00C61121">
      <w:pPr>
        <w:pStyle w:val="NormalWeb"/>
        <w:spacing w:before="0" w:beforeAutospacing="0" w:after="150" w:afterAutospacing="0"/>
        <w:jc w:val="both"/>
        <w:rPr>
          <w:rFonts w:ascii="Verdana" w:hAnsi="Verdana"/>
          <w:color w:val="313131"/>
          <w:sz w:val="18"/>
          <w:szCs w:val="18"/>
        </w:rPr>
      </w:pPr>
      <w:r w:rsidRPr="00CB5F05">
        <w:rPr>
          <w:rFonts w:ascii="Verdana" w:hAnsi="Verdana"/>
          <w:color w:val="313131"/>
          <w:sz w:val="18"/>
          <w:szCs w:val="18"/>
        </w:rPr>
        <w:t>Ministerul Investițiilor și Proiectelor Europene a lansat marți, 17 mai 2022, în consultare publică, Hotărârea privind aprobarea Contractului de finanțare dintre Guvernul României reprezentat de Ministerul Investițiilor și Proiectelor Europene și Banca Europeană de Investiții privind Fondul de Fonduri pentru digitalizare, acțiune climatică și alte domenii de interes, finanțat din Planul Național de Redresare și Reziliență al României, semnat la București la 31 martie 2022.</w:t>
      </w:r>
    </w:p>
    <w:p w14:paraId="4E10026F" w14:textId="77777777" w:rsidR="00CB5F05" w:rsidRPr="00CB5F05" w:rsidRDefault="00CB5F05" w:rsidP="00C61121">
      <w:pPr>
        <w:pStyle w:val="NormalWeb"/>
        <w:spacing w:before="0" w:beforeAutospacing="0" w:after="150" w:afterAutospacing="0"/>
        <w:jc w:val="both"/>
        <w:rPr>
          <w:rFonts w:ascii="Verdana" w:hAnsi="Verdana"/>
          <w:color w:val="313131"/>
          <w:sz w:val="18"/>
          <w:szCs w:val="18"/>
        </w:rPr>
      </w:pPr>
      <w:r w:rsidRPr="00CB5F05">
        <w:rPr>
          <w:rFonts w:ascii="Verdana" w:hAnsi="Verdana"/>
          <w:color w:val="313131"/>
          <w:sz w:val="18"/>
          <w:szCs w:val="18"/>
        </w:rPr>
        <w:t>Conform Notei de fundamentare, MIPE negociază şi semnează contractele de finanţare pentru instrumentele financiare din cadrul PNRR implementate prin încredinţarea sarcinilor de implementare către un partener de implementare. Contractele de finanţare se aprobă prin hotărâre a Guvernului.</w:t>
      </w:r>
    </w:p>
    <w:p w14:paraId="573A3AA8" w14:textId="77777777" w:rsidR="00CB5F05" w:rsidRPr="00CB5F05" w:rsidRDefault="00CB5F05" w:rsidP="00C61121">
      <w:pPr>
        <w:pStyle w:val="NormalWeb"/>
        <w:spacing w:before="0" w:beforeAutospacing="0" w:after="150" w:afterAutospacing="0"/>
        <w:jc w:val="both"/>
        <w:rPr>
          <w:rFonts w:ascii="Verdana" w:hAnsi="Verdana"/>
          <w:color w:val="313131"/>
          <w:sz w:val="18"/>
          <w:szCs w:val="18"/>
        </w:rPr>
      </w:pPr>
      <w:r w:rsidRPr="00CB5F05">
        <w:rPr>
          <w:rFonts w:ascii="Verdana" w:hAnsi="Verdana"/>
          <w:color w:val="313131"/>
          <w:sz w:val="18"/>
          <w:szCs w:val="18"/>
        </w:rPr>
        <w:t>Instrumentul de garantare va fi implementat printr-un contract de finanțare încheiat între Guvernul României și BEI, utilizând modelul fondului de fonduri (FdF) administrat de BEI ca entitate desemnată. Fondul de fonduri va fi o structură-umbrelă gestionată de BEI ca bloc de finanțare separat în cadrul său (nu se creează o entitate juridică separată).</w:t>
      </w:r>
    </w:p>
    <w:p w14:paraId="6FE9332B" w14:textId="77777777" w:rsidR="00CB5F05" w:rsidRPr="00CB5F05" w:rsidRDefault="00CB5F05" w:rsidP="00C61121">
      <w:pPr>
        <w:pStyle w:val="NormalWeb"/>
        <w:spacing w:before="0" w:beforeAutospacing="0" w:after="150" w:afterAutospacing="0"/>
        <w:jc w:val="both"/>
        <w:rPr>
          <w:rFonts w:ascii="Verdana" w:hAnsi="Verdana"/>
          <w:color w:val="313131"/>
          <w:sz w:val="18"/>
          <w:szCs w:val="18"/>
        </w:rPr>
      </w:pPr>
      <w:r w:rsidRPr="00CB5F05">
        <w:rPr>
          <w:rFonts w:ascii="Verdana" w:hAnsi="Verdana"/>
          <w:color w:val="313131"/>
          <w:sz w:val="18"/>
          <w:szCs w:val="18"/>
        </w:rPr>
        <w:t>În acest context, BEI va gestiona FdF prin două sub-fonduri, cu alocări inițiale de câte 150 mil  euro, utilizate după cum urmează:</w:t>
      </w:r>
    </w:p>
    <w:p w14:paraId="605CE74A" w14:textId="77777777" w:rsidR="00CB5F05" w:rsidRPr="00CB5F05" w:rsidRDefault="00CB5F05" w:rsidP="00C61121">
      <w:pPr>
        <w:numPr>
          <w:ilvl w:val="0"/>
          <w:numId w:val="27"/>
        </w:numPr>
        <w:spacing w:before="100" w:beforeAutospacing="1" w:after="100" w:afterAutospacing="1"/>
        <w:jc w:val="both"/>
        <w:rPr>
          <w:color w:val="313131"/>
          <w:szCs w:val="18"/>
        </w:rPr>
      </w:pPr>
      <w:r w:rsidRPr="00CB5F05">
        <w:rPr>
          <w:color w:val="313131"/>
          <w:szCs w:val="18"/>
        </w:rPr>
        <w:t>prin finanțare directă BEI: un produs de împrumut acordat de către BEI, folosind o parte din fondurile puse la dispoziție în temeiul contractului de finanțare ca garanție pentru finanțarea din partea BEI, și/sau un produs prin care o parte din fondurile puse la dispoziție în temeiul contractului de finanțare sunt acordate sub formă de împrumut, în completarea împrumutului din partea BEI, către Beneficiarii finali;</w:t>
      </w:r>
    </w:p>
    <w:p w14:paraId="6721E6A9" w14:textId="77777777" w:rsidR="00CB5F05" w:rsidRPr="00CB5F05" w:rsidRDefault="00CB5F05" w:rsidP="00C61121">
      <w:pPr>
        <w:numPr>
          <w:ilvl w:val="0"/>
          <w:numId w:val="27"/>
        </w:numPr>
        <w:spacing w:before="100" w:beforeAutospacing="1" w:after="100" w:afterAutospacing="1"/>
        <w:jc w:val="both"/>
        <w:rPr>
          <w:color w:val="313131"/>
          <w:szCs w:val="18"/>
        </w:rPr>
      </w:pPr>
      <w:r w:rsidRPr="00CB5F05">
        <w:rPr>
          <w:color w:val="313131"/>
          <w:szCs w:val="18"/>
        </w:rPr>
        <w:t>prin finanțare intermediată: un produs de garantare intermediat  prin care o parte din fondurile puse la dispoziție în temeiul contractului de finanțare vor fi furnizate de BEI, sub forma unei garanții de portofoliu plafonate, intermediarilor financiari selectați de către aceasta cu care BEI va încheia acorduri operaționale.</w:t>
      </w:r>
    </w:p>
    <w:p w14:paraId="1A9AC700" w14:textId="77777777" w:rsidR="00CB5F05" w:rsidRPr="00CB5F05" w:rsidRDefault="00CB5F05" w:rsidP="00C61121">
      <w:pPr>
        <w:pStyle w:val="NormalWeb"/>
        <w:spacing w:before="0" w:beforeAutospacing="0" w:after="150" w:afterAutospacing="0"/>
        <w:jc w:val="both"/>
        <w:rPr>
          <w:rFonts w:ascii="Verdana" w:hAnsi="Verdana"/>
          <w:color w:val="313131"/>
          <w:sz w:val="18"/>
          <w:szCs w:val="18"/>
        </w:rPr>
      </w:pPr>
      <w:r w:rsidRPr="00CB5F05">
        <w:rPr>
          <w:rFonts w:ascii="Verdana" w:hAnsi="Verdana"/>
          <w:color w:val="313131"/>
          <w:sz w:val="18"/>
          <w:szCs w:val="18"/>
        </w:rPr>
        <w:lastRenderedPageBreak/>
        <w:t>Având în vedere că se estimează că în cadrul instrumentelor vor fi acordate peste </w:t>
      </w:r>
      <w:r w:rsidRPr="00CB5F05">
        <w:rPr>
          <w:rStyle w:val="Strong"/>
          <w:color w:val="313131"/>
        </w:rPr>
        <w:t>25 de finanțări</w:t>
      </w:r>
      <w:r w:rsidRPr="00CB5F05">
        <w:rPr>
          <w:rFonts w:ascii="Verdana" w:hAnsi="Verdana"/>
          <w:color w:val="313131"/>
          <w:sz w:val="18"/>
          <w:szCs w:val="18"/>
        </w:rPr>
        <w:t> pentru </w:t>
      </w:r>
      <w:r w:rsidRPr="00CB5F05">
        <w:rPr>
          <w:rStyle w:val="Strong"/>
          <w:color w:val="313131"/>
        </w:rPr>
        <w:t>întreprinderi mari</w:t>
      </w:r>
      <w:r w:rsidRPr="00CB5F05">
        <w:rPr>
          <w:rFonts w:ascii="Verdana" w:hAnsi="Verdana"/>
          <w:color w:val="313131"/>
          <w:sz w:val="18"/>
          <w:szCs w:val="18"/>
        </w:rPr>
        <w:t> (cu peste 500 de angajați și/sau o cifră de afaceri anuală de peste 50 de mil euro și un bilanț anual total de peste 43 mil euro), </w:t>
      </w:r>
      <w:r w:rsidRPr="00CB5F05">
        <w:rPr>
          <w:rStyle w:val="Strong"/>
          <w:color w:val="313131"/>
        </w:rPr>
        <w:t>entități public</w:t>
      </w:r>
      <w:r w:rsidRPr="00CB5F05">
        <w:rPr>
          <w:rFonts w:ascii="Verdana" w:hAnsi="Verdana"/>
          <w:color w:val="313131"/>
          <w:sz w:val="18"/>
          <w:szCs w:val="18"/>
        </w:rPr>
        <w:t>e (municipalități) și </w:t>
      </w:r>
      <w:r w:rsidRPr="00CB5F05">
        <w:rPr>
          <w:rStyle w:val="Strong"/>
          <w:color w:val="313131"/>
        </w:rPr>
        <w:t>vehicule cu scop special</w:t>
      </w:r>
      <w:r w:rsidRPr="00CB5F05">
        <w:rPr>
          <w:rFonts w:ascii="Verdana" w:hAnsi="Verdana"/>
          <w:color w:val="313131"/>
          <w:sz w:val="18"/>
          <w:szCs w:val="18"/>
        </w:rPr>
        <w:t> (SPV), </w:t>
      </w:r>
      <w:r w:rsidRPr="00CB5F05">
        <w:rPr>
          <w:rStyle w:val="Strong"/>
          <w:color w:val="313131"/>
        </w:rPr>
        <w:t>fluxul de numerar de la FdF către aceștia are un caracter impredictibil și, în acest sens, Guvernul României (prin MIPE) ar putea fi în situația de a face plăți către FdF indiferent de fluxurile financiare dintre România și  Comisia Europeană în baza PNRR</w:t>
      </w:r>
      <w:r w:rsidRPr="00CB5F05">
        <w:rPr>
          <w:rFonts w:ascii="Verdana" w:hAnsi="Verdana"/>
          <w:color w:val="313131"/>
          <w:sz w:val="18"/>
          <w:szCs w:val="18"/>
        </w:rPr>
        <w:t>. Bugetul de stat, prin bugetul MIPE, va asigura sumele necesare implementării FdF și acoperirii costurilor suplimentare prevăzute în contractul de finanțare, în conformitate cu legislația în vigoare.</w:t>
      </w:r>
    </w:p>
    <w:p w14:paraId="3ED10A2A" w14:textId="77777777" w:rsidR="00CB5F05" w:rsidRPr="00CB5F05" w:rsidRDefault="00CB5F05" w:rsidP="00C61121">
      <w:pPr>
        <w:pStyle w:val="NormalWeb"/>
        <w:spacing w:before="0" w:beforeAutospacing="0" w:after="150" w:afterAutospacing="0"/>
        <w:jc w:val="both"/>
        <w:rPr>
          <w:rFonts w:ascii="Verdana" w:hAnsi="Verdana"/>
          <w:color w:val="313131"/>
          <w:sz w:val="18"/>
          <w:szCs w:val="18"/>
        </w:rPr>
      </w:pPr>
      <w:hyperlink r:id="rId28" w:tgtFrame="_blank" w:history="1">
        <w:r w:rsidRPr="00CB5F05">
          <w:rPr>
            <w:rStyle w:val="Emphasis"/>
            <w:b/>
            <w:bCs/>
            <w:color w:val="0000FF"/>
            <w:u w:val="single"/>
          </w:rPr>
          <w:t>Descarcă</w:t>
        </w:r>
      </w:hyperlink>
      <w:r w:rsidRPr="00CB5F05">
        <w:rPr>
          <w:rFonts w:ascii="Verdana" w:hAnsi="Verdana"/>
          <w:color w:val="313131"/>
          <w:sz w:val="18"/>
          <w:szCs w:val="18"/>
        </w:rPr>
        <w:t> Proiectul de HG</w:t>
      </w:r>
    </w:p>
    <w:p w14:paraId="747FCBD0" w14:textId="77777777" w:rsidR="00CB5F05" w:rsidRPr="00CB5F05" w:rsidRDefault="00CB5F05" w:rsidP="00C61121">
      <w:pPr>
        <w:pStyle w:val="NormalWeb"/>
        <w:spacing w:before="0" w:beforeAutospacing="0" w:after="150" w:afterAutospacing="0"/>
        <w:jc w:val="both"/>
        <w:rPr>
          <w:rFonts w:ascii="Verdana" w:hAnsi="Verdana"/>
          <w:color w:val="313131"/>
          <w:sz w:val="18"/>
          <w:szCs w:val="18"/>
        </w:rPr>
      </w:pPr>
      <w:r w:rsidRPr="00CB5F05">
        <w:rPr>
          <w:rFonts w:ascii="Verdana" w:hAnsi="Verdana"/>
          <w:color w:val="313131"/>
          <w:sz w:val="18"/>
          <w:szCs w:val="18"/>
        </w:rPr>
        <w:t>Propunerile și sugestiile pe marginea proiectului se pot transmite în termen de 10 zile calendaristice de la publicare, respectiv 17 mai 2022, la adresa de e-mail </w:t>
      </w:r>
      <w:hyperlink r:id="rId29" w:history="1">
        <w:r w:rsidRPr="00CB5F05">
          <w:rPr>
            <w:rStyle w:val="Hyperlink"/>
          </w:rPr>
          <w:t>acte.normative@mfe.gov.ro</w:t>
        </w:r>
      </w:hyperlink>
      <w:r w:rsidRPr="00CB5F05">
        <w:rPr>
          <w:rFonts w:ascii="Verdana" w:hAnsi="Verdana"/>
          <w:color w:val="313131"/>
          <w:sz w:val="18"/>
          <w:szCs w:val="18"/>
        </w:rPr>
        <w:t> sau prin completarea formularului disponibil </w:t>
      </w:r>
      <w:hyperlink r:id="rId30" w:history="1">
        <w:r w:rsidRPr="00CB5F05">
          <w:rPr>
            <w:rStyle w:val="Hyperlink"/>
          </w:rPr>
          <w:t>aici</w:t>
        </w:r>
      </w:hyperlink>
      <w:r w:rsidRPr="00CB5F05">
        <w:rPr>
          <w:rFonts w:ascii="Verdana" w:hAnsi="Verdana"/>
          <w:color w:val="313131"/>
          <w:sz w:val="18"/>
          <w:szCs w:val="18"/>
        </w:rPr>
        <w:t>.</w:t>
      </w:r>
    </w:p>
    <w:p w14:paraId="059D43BD" w14:textId="77777777" w:rsidR="00CB5F05" w:rsidRPr="00CB5F05" w:rsidRDefault="00CB5F05" w:rsidP="00CB5F05">
      <w:pPr>
        <w:pStyle w:val="Stilsursa"/>
      </w:pPr>
      <w:r w:rsidRPr="00CB5F05">
        <w:t>Sursa: MIPE</w:t>
      </w:r>
    </w:p>
    <w:p w14:paraId="7A9278E0" w14:textId="7D3C533E" w:rsidR="00CB5F05" w:rsidRPr="00CB5F05" w:rsidRDefault="00CB5F05" w:rsidP="00CB5F05">
      <w:pPr>
        <w:pStyle w:val="separatorarticole"/>
      </w:pPr>
      <w:r>
        <w:t>*</w:t>
      </w:r>
    </w:p>
    <w:p w14:paraId="1EA861E5" w14:textId="77777777" w:rsidR="00C25F83" w:rsidRPr="00C25F83" w:rsidRDefault="00C25F83" w:rsidP="00C25F83">
      <w:pPr>
        <w:pStyle w:val="TitluArticolinINFOUE"/>
        <w:rPr>
          <w:lang w:eastAsia="ro-RO"/>
        </w:rPr>
      </w:pPr>
      <w:bookmarkStart w:id="149" w:name="_Toc104197277"/>
      <w:r w:rsidRPr="00C25F83">
        <w:t>PNRR: 784 de cereri de finanțare depuse în prima oră de la deschiderea apelurilor pe componenta „Fondul Local”</w:t>
      </w:r>
      <w:bookmarkEnd w:id="149"/>
    </w:p>
    <w:p w14:paraId="39479067" w14:textId="77777777" w:rsidR="00C25F83" w:rsidRPr="00C25F83" w:rsidRDefault="00C25F83" w:rsidP="00C61121">
      <w:pPr>
        <w:pStyle w:val="NormalWeb"/>
        <w:spacing w:before="40" w:beforeAutospacing="0" w:after="0" w:afterAutospacing="0"/>
        <w:jc w:val="both"/>
        <w:rPr>
          <w:rFonts w:ascii="Verdana" w:hAnsi="Verdana"/>
          <w:color w:val="313131"/>
          <w:sz w:val="18"/>
          <w:szCs w:val="18"/>
        </w:rPr>
      </w:pPr>
      <w:r w:rsidRPr="00C25F83">
        <w:rPr>
          <w:rFonts w:ascii="Verdana" w:hAnsi="Verdana"/>
          <w:color w:val="313131"/>
          <w:sz w:val="18"/>
          <w:szCs w:val="18"/>
        </w:rPr>
        <w:t>În prima oră de la deschiderea apelurilor de proiecte din cadrul componentei „Fondul Local” din PNRR au fost depuse </w:t>
      </w:r>
      <w:r w:rsidRPr="00C25F83">
        <w:rPr>
          <w:rStyle w:val="Strong"/>
          <w:color w:val="313131"/>
        </w:rPr>
        <w:t>784 de cereri de finanțare</w:t>
      </w:r>
      <w:r w:rsidRPr="00C25F83">
        <w:rPr>
          <w:rFonts w:ascii="Verdana" w:hAnsi="Verdana"/>
          <w:color w:val="313131"/>
          <w:sz w:val="18"/>
          <w:szCs w:val="18"/>
        </w:rPr>
        <w:t> în valoare de peste 500 de milioane de euro din bugetul total de 2,7 miliarde de euro, conform unui comunicat transmis de MDLPA astăzi, 16 mai 2022.</w:t>
      </w:r>
    </w:p>
    <w:p w14:paraId="097B8F72" w14:textId="77777777" w:rsidR="00C25F83" w:rsidRPr="00C25F83" w:rsidRDefault="00C25F83" w:rsidP="00C61121">
      <w:pPr>
        <w:pStyle w:val="NormalWeb"/>
        <w:spacing w:before="40" w:beforeAutospacing="0" w:after="0" w:afterAutospacing="0"/>
        <w:jc w:val="both"/>
        <w:rPr>
          <w:rFonts w:ascii="Verdana" w:hAnsi="Verdana"/>
          <w:color w:val="313131"/>
          <w:sz w:val="18"/>
          <w:szCs w:val="18"/>
        </w:rPr>
      </w:pPr>
      <w:r w:rsidRPr="00C25F83">
        <w:rPr>
          <w:rFonts w:ascii="Verdana" w:hAnsi="Verdana"/>
          <w:color w:val="313131"/>
          <w:sz w:val="18"/>
          <w:szCs w:val="18"/>
        </w:rPr>
        <w:t>Cererile de finanțare pot fi depuse până pe </w:t>
      </w:r>
      <w:r w:rsidRPr="00C25F83">
        <w:rPr>
          <w:rStyle w:val="Strong"/>
          <w:color w:val="313131"/>
        </w:rPr>
        <w:t>30 iunie</w:t>
      </w:r>
      <w:r w:rsidRPr="00C25F83">
        <w:rPr>
          <w:rFonts w:ascii="Verdana" w:hAnsi="Verdana"/>
          <w:color w:val="313131"/>
          <w:sz w:val="18"/>
          <w:szCs w:val="18"/>
        </w:rPr>
        <w:t>, fondurile sunt prealocate pe fiecare categorie de UAT dar fiecare categorie de investiție are un buget maxim, care nu poate fi depășit.</w:t>
      </w:r>
    </w:p>
    <w:p w14:paraId="643ABB97" w14:textId="77777777" w:rsidR="00C25F83" w:rsidRPr="00C25F83" w:rsidRDefault="00C25F83" w:rsidP="00C61121">
      <w:pPr>
        <w:pStyle w:val="NormalWeb"/>
        <w:spacing w:before="40" w:beforeAutospacing="0" w:after="0" w:afterAutospacing="0"/>
        <w:jc w:val="both"/>
        <w:rPr>
          <w:rFonts w:ascii="Verdana" w:hAnsi="Verdana"/>
          <w:color w:val="313131"/>
          <w:sz w:val="18"/>
          <w:szCs w:val="18"/>
        </w:rPr>
      </w:pPr>
      <w:r w:rsidRPr="00C25F83">
        <w:rPr>
          <w:rFonts w:ascii="Verdana" w:hAnsi="Verdana"/>
          <w:color w:val="313131"/>
          <w:sz w:val="18"/>
          <w:szCs w:val="18"/>
        </w:rPr>
        <w:t>Pentru a asigura dezvoltarea echitabilă a localităților, în această schemă de finanțare sunt prevăzute fonduri prealocate, garantate pentru fiecare comună, oraș, municipiu care depune solicitări de finanțare pentru investițiile ce pot fi accesate.</w:t>
      </w:r>
    </w:p>
    <w:p w14:paraId="3C3B6C05" w14:textId="77777777" w:rsidR="00C25F83" w:rsidRPr="00C25F83" w:rsidRDefault="00C25F83" w:rsidP="00C61121">
      <w:pPr>
        <w:pStyle w:val="NormalWeb"/>
        <w:spacing w:before="40" w:beforeAutospacing="0" w:after="0" w:afterAutospacing="0"/>
        <w:jc w:val="both"/>
        <w:rPr>
          <w:rFonts w:ascii="Verdana" w:hAnsi="Verdana"/>
          <w:color w:val="313131"/>
          <w:sz w:val="18"/>
          <w:szCs w:val="18"/>
        </w:rPr>
      </w:pPr>
      <w:r w:rsidRPr="00C25F83">
        <w:rPr>
          <w:rFonts w:ascii="Verdana" w:hAnsi="Verdana"/>
          <w:color w:val="313131"/>
          <w:sz w:val="18"/>
          <w:szCs w:val="18"/>
        </w:rPr>
        <w:t>Suma pre alocată este de 12.350.000 euro pentru municipiul București și 12.155.000 euro pentru fiecare sector în parte, fiecare comună are o sumă pre alocată în valoare de 324.770 euro, fiecare oraș poate accesa 3.189.815 euro, fiecare reședință de județ - 12.493.000 euro, în timp ce, pentru celelalte municipii, suma este de 4.193.550 euro.</w:t>
      </w:r>
    </w:p>
    <w:p w14:paraId="4EABBF54" w14:textId="77777777" w:rsidR="00C25F83" w:rsidRPr="00C25F83" w:rsidRDefault="00C25F83" w:rsidP="00C61121">
      <w:pPr>
        <w:pStyle w:val="NormalWeb"/>
        <w:spacing w:before="40" w:beforeAutospacing="0" w:after="0" w:afterAutospacing="0"/>
        <w:jc w:val="both"/>
        <w:rPr>
          <w:rFonts w:ascii="Verdana" w:hAnsi="Verdana"/>
          <w:color w:val="313131"/>
          <w:sz w:val="18"/>
          <w:szCs w:val="18"/>
        </w:rPr>
      </w:pPr>
      <w:r w:rsidRPr="00C25F83">
        <w:rPr>
          <w:rFonts w:ascii="Verdana" w:hAnsi="Verdana"/>
          <w:color w:val="313131"/>
          <w:sz w:val="18"/>
          <w:szCs w:val="18"/>
        </w:rPr>
        <w:t>Din Fondul Local, comunitățile locale pot construi, la nivel național, în total </w:t>
      </w:r>
      <w:r w:rsidRPr="00C25F83">
        <w:rPr>
          <w:rStyle w:val="Strong"/>
          <w:color w:val="313131"/>
        </w:rPr>
        <w:t>5.522 de locuințe</w:t>
      </w:r>
      <w:r w:rsidRPr="00C25F83">
        <w:rPr>
          <w:rFonts w:ascii="Verdana" w:hAnsi="Verdana"/>
          <w:color w:val="313131"/>
          <w:sz w:val="18"/>
          <w:szCs w:val="18"/>
        </w:rPr>
        <w:t> pentru tineri și specialiștii din sănătate și învățământ, eficiente energetic, vor putea fi </w:t>
      </w:r>
      <w:r w:rsidRPr="00C25F83">
        <w:rPr>
          <w:rStyle w:val="Strong"/>
          <w:color w:val="313131"/>
        </w:rPr>
        <w:t>reînnoite parcurile de vehicule</w:t>
      </w:r>
      <w:r w:rsidRPr="00C25F83">
        <w:rPr>
          <w:rFonts w:ascii="Verdana" w:hAnsi="Verdana"/>
          <w:color w:val="313131"/>
          <w:sz w:val="18"/>
          <w:szCs w:val="18"/>
        </w:rPr>
        <w:t> destinate transportului public cu 1.135 de vehicule nepoluante, pentru care se vor instala și 13.200 </w:t>
      </w:r>
      <w:r w:rsidRPr="00C25F83">
        <w:rPr>
          <w:rStyle w:val="Strong"/>
          <w:color w:val="313131"/>
        </w:rPr>
        <w:t>puncte de reîncărcare</w:t>
      </w:r>
      <w:r w:rsidRPr="00C25F83">
        <w:rPr>
          <w:rFonts w:ascii="Verdana" w:hAnsi="Verdana"/>
          <w:color w:val="313131"/>
          <w:sz w:val="18"/>
          <w:szCs w:val="18"/>
        </w:rPr>
        <w:t>. De asemenea, se vor realiza 1.091 km de </w:t>
      </w:r>
      <w:r w:rsidRPr="00C25F83">
        <w:rPr>
          <w:rStyle w:val="Strong"/>
          <w:color w:val="313131"/>
        </w:rPr>
        <w:t>piste pentru biciclete</w:t>
      </w:r>
      <w:r w:rsidRPr="00C25F83">
        <w:rPr>
          <w:rFonts w:ascii="Verdana" w:hAnsi="Verdana"/>
          <w:color w:val="313131"/>
          <w:sz w:val="18"/>
          <w:szCs w:val="18"/>
        </w:rPr>
        <w:t>.</w:t>
      </w:r>
    </w:p>
    <w:p w14:paraId="2DD7C63E" w14:textId="77777777" w:rsidR="00C25F83" w:rsidRPr="00C25F83" w:rsidRDefault="00C25F83" w:rsidP="00C61121">
      <w:pPr>
        <w:pStyle w:val="NormalWeb"/>
        <w:spacing w:before="40" w:beforeAutospacing="0" w:after="0" w:afterAutospacing="0"/>
        <w:jc w:val="both"/>
        <w:rPr>
          <w:rFonts w:ascii="Verdana" w:hAnsi="Verdana"/>
          <w:color w:val="313131"/>
          <w:sz w:val="18"/>
          <w:szCs w:val="18"/>
        </w:rPr>
      </w:pPr>
      <w:r w:rsidRPr="00C25F83">
        <w:rPr>
          <w:rFonts w:ascii="Verdana" w:hAnsi="Verdana"/>
          <w:color w:val="313131"/>
          <w:sz w:val="18"/>
          <w:szCs w:val="18"/>
        </w:rPr>
        <w:t>Mai multe informații cu privire la această componentă sunt disponibile în </w:t>
      </w:r>
      <w:hyperlink r:id="rId31" w:anchor="po-axa-132" w:tgtFrame="_blank" w:history="1">
        <w:r w:rsidRPr="00C25F83">
          <w:rPr>
            <w:rStyle w:val="Hyperlink"/>
          </w:rPr>
          <w:t>fișa de proiect</w:t>
        </w:r>
      </w:hyperlink>
      <w:r w:rsidRPr="00C25F83">
        <w:rPr>
          <w:rFonts w:ascii="Verdana" w:hAnsi="Verdana"/>
          <w:color w:val="313131"/>
          <w:sz w:val="18"/>
          <w:szCs w:val="18"/>
        </w:rPr>
        <w:t> dedicată – </w:t>
      </w:r>
      <w:r w:rsidRPr="00C25F83">
        <w:rPr>
          <w:rStyle w:val="Emphasis"/>
          <w:color w:val="313131"/>
        </w:rPr>
        <w:t>Componenta 10. Fondul Local</w:t>
      </w:r>
      <w:r w:rsidRPr="00C25F83">
        <w:rPr>
          <w:rFonts w:ascii="Verdana" w:hAnsi="Verdana"/>
          <w:color w:val="313131"/>
          <w:sz w:val="18"/>
          <w:szCs w:val="18"/>
        </w:rPr>
        <w:t>.</w:t>
      </w:r>
    </w:p>
    <w:p w14:paraId="0F59A0E6" w14:textId="77777777" w:rsidR="00C25F83" w:rsidRPr="00C25F83" w:rsidRDefault="00C25F83" w:rsidP="00C25F83">
      <w:pPr>
        <w:pStyle w:val="Stilsursa"/>
      </w:pPr>
      <w:r w:rsidRPr="00C25F83">
        <w:t>Sursa: MDLPA</w:t>
      </w:r>
    </w:p>
    <w:p w14:paraId="06CAD010" w14:textId="4431D4FC" w:rsidR="00607517" w:rsidRDefault="00607517" w:rsidP="00607517">
      <w:pPr>
        <w:spacing w:before="240"/>
        <w:ind w:right="198"/>
        <w:jc w:val="center"/>
        <w:rPr>
          <w:color w:val="9999FF"/>
          <w:spacing w:val="40"/>
          <w:sz w:val="16"/>
          <w:szCs w:val="16"/>
        </w:rPr>
      </w:pPr>
      <w:bookmarkStart w:id="150" w:name="_Toc101174490"/>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AF2B5C">
      <w:pPr>
        <w:pStyle w:val="Consultare"/>
      </w:pPr>
      <w:bookmarkStart w:id="151" w:name="_Toc104197278"/>
      <w:r>
        <w:t>Consultări publice</w:t>
      </w:r>
      <w:bookmarkEnd w:id="150"/>
      <w:bookmarkEnd w:id="151"/>
    </w:p>
    <w:p w14:paraId="04A82AE3" w14:textId="77777777" w:rsidR="00D37159" w:rsidRPr="00C25F83" w:rsidRDefault="00D37159" w:rsidP="00C61121">
      <w:pPr>
        <w:pStyle w:val="TitluArticolinINFOUE"/>
        <w:jc w:val="both"/>
        <w:rPr>
          <w:lang w:eastAsia="ro-RO"/>
        </w:rPr>
      </w:pPr>
      <w:bookmarkStart w:id="152" w:name="_Toc104197279"/>
      <w:r w:rsidRPr="00C25F83">
        <w:t>Procedura pentru acordarea de microgranturi întreprinderilor din sectorul agroalimentar, în consultare publică!</w:t>
      </w:r>
      <w:bookmarkEnd w:id="152"/>
    </w:p>
    <w:p w14:paraId="0CF46008" w14:textId="77777777" w:rsidR="00D37159" w:rsidRPr="00C25F83" w:rsidRDefault="00D37159" w:rsidP="00C61121">
      <w:pPr>
        <w:pStyle w:val="NormalWeb"/>
        <w:spacing w:before="60" w:beforeAutospacing="0" w:after="0" w:afterAutospacing="0"/>
        <w:jc w:val="both"/>
        <w:rPr>
          <w:rFonts w:ascii="Verdana" w:hAnsi="Verdana"/>
          <w:color w:val="313131"/>
          <w:sz w:val="18"/>
          <w:szCs w:val="18"/>
        </w:rPr>
      </w:pPr>
      <w:r w:rsidRPr="00C25F83">
        <w:rPr>
          <w:rFonts w:ascii="Verdana" w:hAnsi="Verdana"/>
          <w:color w:val="313131"/>
          <w:sz w:val="18"/>
          <w:szCs w:val="18"/>
        </w:rPr>
        <w:t>Ministerul Agriculturii și Dezvoltării Rurale a lansat astăzi, 17 mai 2022, în consultare publică, Procedura de implementare aferentă măsurii „</w:t>
      </w:r>
      <w:r w:rsidRPr="00C25F83">
        <w:rPr>
          <w:rStyle w:val="Emphasis"/>
          <w:color w:val="313131"/>
        </w:rPr>
        <w:t>Microgranturi acordate din fonduri externe nerambursabile și de la bugetul de stat pentru activități specifice din domeniul industriei agroalimentare</w:t>
      </w:r>
      <w:r w:rsidRPr="00C25F83">
        <w:rPr>
          <w:rFonts w:ascii="Verdana" w:hAnsi="Verdana"/>
          <w:color w:val="313131"/>
          <w:sz w:val="18"/>
          <w:szCs w:val="18"/>
        </w:rPr>
        <w:t>" din cadrul schemei de ajutor de stat instituite prin OUG nr. 61/2022 privind unele măsuri pentru acordarea de microgranturi şi granturi pentru capital de lucru entităţilor din domeniul agroalimentar cu finanțare din fonduri externe nerambursabile.</w:t>
      </w:r>
    </w:p>
    <w:p w14:paraId="1614C99B" w14:textId="77777777" w:rsidR="00D37159" w:rsidRPr="00C25F83" w:rsidRDefault="00D37159" w:rsidP="00C61121">
      <w:pPr>
        <w:pStyle w:val="NormalWeb"/>
        <w:spacing w:before="60" w:beforeAutospacing="0" w:after="0" w:afterAutospacing="0"/>
        <w:jc w:val="both"/>
        <w:rPr>
          <w:rFonts w:ascii="Verdana" w:hAnsi="Verdana"/>
          <w:color w:val="313131"/>
          <w:sz w:val="18"/>
          <w:szCs w:val="18"/>
        </w:rPr>
      </w:pPr>
      <w:r w:rsidRPr="00C25F83">
        <w:rPr>
          <w:rFonts w:ascii="Verdana" w:hAnsi="Verdana"/>
          <w:color w:val="313131"/>
          <w:sz w:val="18"/>
          <w:szCs w:val="18"/>
        </w:rPr>
        <w:t>Ajutoarele financiare nerambursabile în valoare de </w:t>
      </w:r>
      <w:r w:rsidRPr="00C25F83">
        <w:rPr>
          <w:rStyle w:val="Strong"/>
          <w:color w:val="313131"/>
        </w:rPr>
        <w:t>5.000 euro/ beneficiar</w:t>
      </w:r>
      <w:r w:rsidRPr="00C25F83">
        <w:rPr>
          <w:rFonts w:ascii="Verdana" w:hAnsi="Verdana"/>
          <w:color w:val="313131"/>
          <w:sz w:val="18"/>
          <w:szCs w:val="18"/>
        </w:rPr>
        <w:t> se vor acorda pe bază de contract de acordare a ajutorului de stat încheiat cu următoarele categorii de beneficiari:</w:t>
      </w:r>
    </w:p>
    <w:p w14:paraId="368709B7" w14:textId="77777777" w:rsidR="00D37159" w:rsidRPr="00C25F83" w:rsidRDefault="00D37159" w:rsidP="00C61121">
      <w:pPr>
        <w:numPr>
          <w:ilvl w:val="0"/>
          <w:numId w:val="12"/>
        </w:numPr>
        <w:spacing w:before="60"/>
        <w:jc w:val="both"/>
        <w:rPr>
          <w:color w:val="313131"/>
          <w:szCs w:val="18"/>
        </w:rPr>
      </w:pPr>
      <w:r w:rsidRPr="00C25F83">
        <w:rPr>
          <w:rStyle w:val="Strong"/>
          <w:color w:val="313131"/>
        </w:rPr>
        <w:t>microîntreprinderile</w:t>
      </w:r>
      <w:r w:rsidRPr="00C25F83">
        <w:rPr>
          <w:color w:val="313131"/>
          <w:szCs w:val="18"/>
        </w:rPr>
        <w:t>;</w:t>
      </w:r>
    </w:p>
    <w:p w14:paraId="758C731D" w14:textId="77777777" w:rsidR="00D37159" w:rsidRPr="00C25F83" w:rsidRDefault="00D37159" w:rsidP="00C61121">
      <w:pPr>
        <w:numPr>
          <w:ilvl w:val="0"/>
          <w:numId w:val="12"/>
        </w:numPr>
        <w:spacing w:before="60"/>
        <w:jc w:val="both"/>
        <w:rPr>
          <w:color w:val="313131"/>
          <w:szCs w:val="18"/>
        </w:rPr>
      </w:pPr>
      <w:r w:rsidRPr="00C25F83">
        <w:rPr>
          <w:rStyle w:val="Strong"/>
          <w:color w:val="313131"/>
        </w:rPr>
        <w:lastRenderedPageBreak/>
        <w:t>IMM</w:t>
      </w:r>
      <w:r w:rsidRPr="00C25F83">
        <w:rPr>
          <w:color w:val="313131"/>
          <w:szCs w:val="18"/>
        </w:rPr>
        <w:t>-urile care fac dovada prin situațiile financiare depuse că nu dețin salariați cu contract individual de muncă la data de 31 decembrie 2019;</w:t>
      </w:r>
    </w:p>
    <w:p w14:paraId="2829243C" w14:textId="77777777" w:rsidR="00D37159" w:rsidRPr="00C25F83" w:rsidRDefault="00D37159" w:rsidP="00C61121">
      <w:pPr>
        <w:numPr>
          <w:ilvl w:val="0"/>
          <w:numId w:val="12"/>
        </w:numPr>
        <w:spacing w:before="60"/>
        <w:jc w:val="both"/>
        <w:rPr>
          <w:color w:val="313131"/>
          <w:szCs w:val="18"/>
        </w:rPr>
      </w:pPr>
      <w:r w:rsidRPr="00C25F83">
        <w:rPr>
          <w:rStyle w:val="Strong"/>
          <w:color w:val="313131"/>
        </w:rPr>
        <w:t>persoane fizice autorizate</w:t>
      </w:r>
      <w:r w:rsidRPr="00C25F83">
        <w:rPr>
          <w:color w:val="313131"/>
          <w:szCs w:val="18"/>
        </w:rPr>
        <w:t>;</w:t>
      </w:r>
    </w:p>
    <w:p w14:paraId="4D5FDFA6" w14:textId="77777777" w:rsidR="00D37159" w:rsidRPr="00C25F83" w:rsidRDefault="00D37159" w:rsidP="00C61121">
      <w:pPr>
        <w:numPr>
          <w:ilvl w:val="0"/>
          <w:numId w:val="12"/>
        </w:numPr>
        <w:spacing w:before="60"/>
        <w:jc w:val="both"/>
        <w:rPr>
          <w:color w:val="313131"/>
          <w:szCs w:val="18"/>
        </w:rPr>
      </w:pPr>
      <w:r w:rsidRPr="00C25F83">
        <w:rPr>
          <w:rStyle w:val="Strong"/>
          <w:color w:val="313131"/>
        </w:rPr>
        <w:t>întreprinderile individuale</w:t>
      </w:r>
      <w:r w:rsidRPr="00C25F83">
        <w:rPr>
          <w:color w:val="313131"/>
          <w:szCs w:val="18"/>
        </w:rPr>
        <w:t>;</w:t>
      </w:r>
    </w:p>
    <w:p w14:paraId="7213B293" w14:textId="77777777" w:rsidR="00D37159" w:rsidRPr="00C25F83" w:rsidRDefault="00D37159" w:rsidP="00C61121">
      <w:pPr>
        <w:numPr>
          <w:ilvl w:val="0"/>
          <w:numId w:val="12"/>
        </w:numPr>
        <w:spacing w:before="60"/>
        <w:jc w:val="both"/>
        <w:rPr>
          <w:color w:val="313131"/>
          <w:szCs w:val="18"/>
        </w:rPr>
      </w:pPr>
      <w:r w:rsidRPr="00C25F83">
        <w:rPr>
          <w:rStyle w:val="Strong"/>
          <w:color w:val="313131"/>
        </w:rPr>
        <w:t>întreprinderile familiale</w:t>
      </w:r>
      <w:r w:rsidRPr="00C25F83">
        <w:rPr>
          <w:color w:val="313131"/>
          <w:szCs w:val="18"/>
        </w:rPr>
        <w:t>.</w:t>
      </w:r>
    </w:p>
    <w:p w14:paraId="78B6B858" w14:textId="77777777" w:rsidR="00D37159" w:rsidRPr="00C25F83" w:rsidRDefault="00D37159" w:rsidP="00C61121">
      <w:pPr>
        <w:pStyle w:val="NormalWeb"/>
        <w:spacing w:before="60" w:beforeAutospacing="0" w:after="0" w:afterAutospacing="0"/>
        <w:jc w:val="both"/>
        <w:rPr>
          <w:rFonts w:ascii="Verdana" w:hAnsi="Verdana"/>
          <w:color w:val="313131"/>
          <w:sz w:val="18"/>
          <w:szCs w:val="18"/>
        </w:rPr>
      </w:pPr>
      <w:r w:rsidRPr="00C25F83">
        <w:rPr>
          <w:rFonts w:ascii="Verdana" w:hAnsi="Verdana"/>
          <w:color w:val="313131"/>
          <w:sz w:val="18"/>
          <w:szCs w:val="18"/>
        </w:rPr>
        <w:t>Măsura este valabilă până la 30 iunie 2022, plățile în cadrul măsurii urmând să fie efectuate până la 31 decembrie 2023, iar bugetul total este în valoare de </w:t>
      </w:r>
      <w:r w:rsidRPr="00C25F83">
        <w:rPr>
          <w:rStyle w:val="Strong"/>
          <w:color w:val="313131"/>
        </w:rPr>
        <w:t>50.000.000 euro</w:t>
      </w:r>
      <w:r w:rsidRPr="00C25F83">
        <w:rPr>
          <w:rFonts w:ascii="Verdana" w:hAnsi="Verdana"/>
          <w:color w:val="313131"/>
          <w:sz w:val="18"/>
          <w:szCs w:val="18"/>
        </w:rPr>
        <w:t>.</w:t>
      </w:r>
    </w:p>
    <w:p w14:paraId="14CB0D6B" w14:textId="77777777" w:rsidR="00D37159" w:rsidRPr="00C25F83" w:rsidRDefault="00D37159" w:rsidP="00C61121">
      <w:pPr>
        <w:pStyle w:val="NormalWeb"/>
        <w:spacing w:before="60" w:beforeAutospacing="0" w:after="0" w:afterAutospacing="0"/>
        <w:jc w:val="both"/>
        <w:rPr>
          <w:rFonts w:ascii="Verdana" w:hAnsi="Verdana"/>
          <w:color w:val="313131"/>
          <w:sz w:val="18"/>
          <w:szCs w:val="18"/>
        </w:rPr>
      </w:pPr>
      <w:r w:rsidRPr="00C25F83">
        <w:rPr>
          <w:rFonts w:ascii="Verdana" w:hAnsi="Verdana"/>
          <w:color w:val="313131"/>
          <w:sz w:val="18"/>
          <w:szCs w:val="18"/>
        </w:rPr>
        <w:t>Printre condițiile pe care beneficiarii trebuie să le îndeplinească pentru finanțare se numără:</w:t>
      </w:r>
    </w:p>
    <w:p w14:paraId="4CCE88AE" w14:textId="77777777" w:rsidR="00D37159" w:rsidRPr="00C25F83" w:rsidRDefault="00D37159" w:rsidP="00C61121">
      <w:pPr>
        <w:numPr>
          <w:ilvl w:val="0"/>
          <w:numId w:val="13"/>
        </w:numPr>
        <w:spacing w:before="60"/>
        <w:jc w:val="both"/>
        <w:rPr>
          <w:color w:val="313131"/>
          <w:szCs w:val="18"/>
        </w:rPr>
      </w:pPr>
      <w:r w:rsidRPr="00C25F83">
        <w:rPr>
          <w:color w:val="313131"/>
          <w:szCs w:val="18"/>
        </w:rPr>
        <w:t>au desfășurat activitate curentă/operațională pe perioada a </w:t>
      </w:r>
      <w:r w:rsidRPr="00C25F83">
        <w:rPr>
          <w:rStyle w:val="Strong"/>
          <w:color w:val="313131"/>
        </w:rPr>
        <w:t>cel puțin 3 luni calendaristice înainte de data de 31 decembrie 2019</w:t>
      </w:r>
      <w:r w:rsidRPr="00C25F83">
        <w:rPr>
          <w:color w:val="313131"/>
          <w:szCs w:val="18"/>
        </w:rPr>
        <w:t>;</w:t>
      </w:r>
    </w:p>
    <w:p w14:paraId="2A5E47A4" w14:textId="77777777" w:rsidR="00D37159" w:rsidRPr="00C25F83" w:rsidRDefault="00D37159" w:rsidP="00C61121">
      <w:pPr>
        <w:numPr>
          <w:ilvl w:val="0"/>
          <w:numId w:val="13"/>
        </w:numPr>
        <w:spacing w:before="60"/>
        <w:jc w:val="both"/>
        <w:rPr>
          <w:color w:val="313131"/>
          <w:szCs w:val="18"/>
        </w:rPr>
      </w:pPr>
      <w:r w:rsidRPr="00C25F83">
        <w:rPr>
          <w:color w:val="313131"/>
          <w:szCs w:val="18"/>
        </w:rPr>
        <w:t>au obținut o cifră de afaceri/venituri de </w:t>
      </w:r>
      <w:r w:rsidRPr="00C25F83">
        <w:rPr>
          <w:rStyle w:val="Strong"/>
          <w:color w:val="313131"/>
        </w:rPr>
        <w:t>cel puțin echivalentul în lei a 5.000 euro</w:t>
      </w:r>
      <w:r w:rsidRPr="00C25F83">
        <w:rPr>
          <w:color w:val="313131"/>
          <w:szCs w:val="18"/>
        </w:rPr>
        <w:t> la data de 31 decembrie 2019, cu excepția beneficiarilor ajutorului de stat prevăzuți la art. 5 alin. (1) lit. a) din OUG nr 61/2022, care au fost înființați în anul 2019, cu o cifră de afaceri mai mică de 5.000 euro;</w:t>
      </w:r>
    </w:p>
    <w:p w14:paraId="7DEF1C8A" w14:textId="77777777" w:rsidR="00D37159" w:rsidRPr="00C25F83" w:rsidRDefault="00D37159" w:rsidP="00C61121">
      <w:pPr>
        <w:numPr>
          <w:ilvl w:val="0"/>
          <w:numId w:val="13"/>
        </w:numPr>
        <w:spacing w:before="60"/>
        <w:jc w:val="both"/>
        <w:rPr>
          <w:color w:val="313131"/>
          <w:szCs w:val="18"/>
        </w:rPr>
      </w:pPr>
      <w:r w:rsidRPr="00C25F83">
        <w:rPr>
          <w:rStyle w:val="Strong"/>
          <w:color w:val="313131"/>
        </w:rPr>
        <w:t>nu se aflau în dificultate la 31 decembrie 2019</w:t>
      </w:r>
      <w:r w:rsidRPr="00C25F83">
        <w:rPr>
          <w:color w:val="313131"/>
          <w:szCs w:val="18"/>
        </w:rPr>
        <w:t>;</w:t>
      </w:r>
    </w:p>
    <w:p w14:paraId="5926E2A7" w14:textId="77777777" w:rsidR="00D37159" w:rsidRPr="00C25F83" w:rsidRDefault="00D37159" w:rsidP="00C61121">
      <w:pPr>
        <w:numPr>
          <w:ilvl w:val="0"/>
          <w:numId w:val="13"/>
        </w:numPr>
        <w:spacing w:before="60"/>
        <w:jc w:val="both"/>
        <w:rPr>
          <w:color w:val="313131"/>
          <w:szCs w:val="18"/>
        </w:rPr>
      </w:pPr>
      <w:r w:rsidRPr="00C25F83">
        <w:rPr>
          <w:color w:val="313131"/>
          <w:szCs w:val="18"/>
        </w:rPr>
        <w:t>suma totală a ajutoarelor de stat primite în cadrul temporar instituit de Comisia Europeană însumată cu cuantumul ajutorului de stat solicitat în cadrul prezentei măsuri se încadrează în plafoanele menționate de Cadru temporar (345.000 euro pentru fiecare întreprindere care îşi desfăşoară activitatea în sectorul pescuitului şi acvaculturii, 290.000 euro pentru fiecare întreprindere care îşi desfăşoară activitatea în domeniul producţiei primare de produse agricole, respectiv 2.300.000 euro pentru fiecare întreprindere care își desfășoară activitatea în celelalte domenii de activitate);</w:t>
      </w:r>
    </w:p>
    <w:p w14:paraId="43D1F8B5" w14:textId="77777777" w:rsidR="00D37159" w:rsidRPr="00C25F83" w:rsidRDefault="00D37159" w:rsidP="00C61121">
      <w:pPr>
        <w:numPr>
          <w:ilvl w:val="0"/>
          <w:numId w:val="13"/>
        </w:numPr>
        <w:spacing w:before="60"/>
        <w:jc w:val="both"/>
        <w:rPr>
          <w:color w:val="313131"/>
          <w:szCs w:val="18"/>
        </w:rPr>
      </w:pPr>
      <w:r w:rsidRPr="00C25F83">
        <w:rPr>
          <w:rStyle w:val="Strong"/>
          <w:color w:val="313131"/>
        </w:rPr>
        <w:t>nu au solicitat ajutor de stat în cadrul Măsurii 2- Granturi pentru capital de lucru</w:t>
      </w:r>
      <w:r w:rsidRPr="00C25F83">
        <w:rPr>
          <w:color w:val="313131"/>
          <w:szCs w:val="18"/>
        </w:rPr>
        <w:t> acordate din fonduri externe nerambursabile sub formă de sumă forfetară, așa cum este definită în cadrul O.U.G. nr. 61/2022 privind unele măsuri pentru acordarea de microgranturi și granturi pentru capital de lucru entităților din domeniul agroalimentar cu finanțare din fonduri externe nerambursabile.</w:t>
      </w:r>
    </w:p>
    <w:p w14:paraId="693F2200" w14:textId="77777777" w:rsidR="00D37159" w:rsidRPr="00C25F83" w:rsidRDefault="00D37159" w:rsidP="00C61121">
      <w:pPr>
        <w:pStyle w:val="NormalWeb"/>
        <w:spacing w:before="60" w:beforeAutospacing="0" w:after="0" w:afterAutospacing="0"/>
        <w:jc w:val="both"/>
        <w:rPr>
          <w:rFonts w:ascii="Verdana" w:hAnsi="Verdana"/>
          <w:color w:val="313131"/>
          <w:sz w:val="18"/>
          <w:szCs w:val="18"/>
        </w:rPr>
      </w:pPr>
      <w:r w:rsidRPr="00C25F83">
        <w:rPr>
          <w:rFonts w:ascii="Verdana" w:hAnsi="Verdana"/>
          <w:color w:val="313131"/>
          <w:sz w:val="18"/>
          <w:szCs w:val="18"/>
        </w:rPr>
        <w:t>De asemenea, aceștia pot utiliza microgranturile sub formă de sumă forfetară pentru susținerea următoarelor cheltuieli angajate după data de 1 februarie 2020:</w:t>
      </w:r>
    </w:p>
    <w:p w14:paraId="36084992" w14:textId="77777777" w:rsidR="00D37159" w:rsidRPr="00C25F83" w:rsidRDefault="00D37159" w:rsidP="00C61121">
      <w:pPr>
        <w:numPr>
          <w:ilvl w:val="0"/>
          <w:numId w:val="14"/>
        </w:numPr>
        <w:spacing w:before="60"/>
        <w:jc w:val="both"/>
        <w:rPr>
          <w:color w:val="313131"/>
          <w:szCs w:val="18"/>
        </w:rPr>
      </w:pPr>
      <w:r w:rsidRPr="00C25F83">
        <w:rPr>
          <w:color w:val="313131"/>
          <w:szCs w:val="18"/>
        </w:rPr>
        <w:t>cheltuieli privind stocurile de materii prime, materiale, mărfuri, precum şi alte categorii de stocuri necesare activităţii curente/operaţionale desfăşurate de beneficiari;</w:t>
      </w:r>
    </w:p>
    <w:p w14:paraId="76FB2B45" w14:textId="77777777" w:rsidR="00D37159" w:rsidRPr="00C25F83" w:rsidRDefault="00D37159" w:rsidP="00C61121">
      <w:pPr>
        <w:numPr>
          <w:ilvl w:val="0"/>
          <w:numId w:val="14"/>
        </w:numPr>
        <w:spacing w:before="60"/>
        <w:jc w:val="both"/>
        <w:rPr>
          <w:color w:val="313131"/>
          <w:szCs w:val="18"/>
        </w:rPr>
      </w:pPr>
      <w:r w:rsidRPr="00C25F83">
        <w:rPr>
          <w:color w:val="313131"/>
          <w:szCs w:val="18"/>
        </w:rPr>
        <w:t>datorii curente şi restante faţă de furnizorii curenţi, inclusiv faţă de furnizorii de utilităţi, potrivit contractelor încheiate;</w:t>
      </w:r>
    </w:p>
    <w:p w14:paraId="1CB7EFFA" w14:textId="77777777" w:rsidR="00D37159" w:rsidRPr="00C25F83" w:rsidRDefault="00D37159" w:rsidP="00C61121">
      <w:pPr>
        <w:numPr>
          <w:ilvl w:val="0"/>
          <w:numId w:val="14"/>
        </w:numPr>
        <w:spacing w:before="60"/>
        <w:jc w:val="both"/>
        <w:rPr>
          <w:color w:val="313131"/>
          <w:szCs w:val="18"/>
        </w:rPr>
      </w:pPr>
      <w:r w:rsidRPr="00C25F83">
        <w:rPr>
          <w:color w:val="313131"/>
          <w:szCs w:val="18"/>
        </w:rPr>
        <w:t>cheltuieli privind chiria pe bază de contract încheiat şi/sau cheltuieli privind arenda sau redevenţa pe bază de contract de arendă sau contract de concesiune aferente terenurilor agricole;</w:t>
      </w:r>
    </w:p>
    <w:p w14:paraId="577E11AD" w14:textId="77777777" w:rsidR="00D37159" w:rsidRPr="00C25F83" w:rsidRDefault="00D37159" w:rsidP="00C61121">
      <w:pPr>
        <w:numPr>
          <w:ilvl w:val="0"/>
          <w:numId w:val="14"/>
        </w:numPr>
        <w:spacing w:before="60"/>
        <w:jc w:val="both"/>
        <w:rPr>
          <w:color w:val="313131"/>
          <w:szCs w:val="18"/>
        </w:rPr>
      </w:pPr>
      <w:r w:rsidRPr="00C25F83">
        <w:rPr>
          <w:color w:val="313131"/>
          <w:szCs w:val="18"/>
        </w:rPr>
        <w:t>cheltuieli privind achiziţia de servicii necesare activităţii curente/operaţionale, cu excepţia serviciilor de consultanţă;</w:t>
      </w:r>
    </w:p>
    <w:p w14:paraId="1A78FB1B" w14:textId="77777777" w:rsidR="00D37159" w:rsidRPr="00C25F83" w:rsidRDefault="00D37159" w:rsidP="00C61121">
      <w:pPr>
        <w:numPr>
          <w:ilvl w:val="0"/>
          <w:numId w:val="14"/>
        </w:numPr>
        <w:spacing w:before="60"/>
        <w:jc w:val="both"/>
        <w:rPr>
          <w:color w:val="313131"/>
          <w:szCs w:val="18"/>
        </w:rPr>
      </w:pPr>
      <w:r w:rsidRPr="00C25F83">
        <w:rPr>
          <w:color w:val="313131"/>
          <w:szCs w:val="18"/>
        </w:rPr>
        <w:t>cheltuieli privind achiziţia de obiecte de inventar, inclusiv obiecte de inventar de natura mijloacelor fixe necesare reluării activităţii curente/operaţionale;</w:t>
      </w:r>
    </w:p>
    <w:p w14:paraId="2E460BCF" w14:textId="77777777" w:rsidR="00D37159" w:rsidRPr="00C25F83" w:rsidRDefault="00D37159" w:rsidP="00C61121">
      <w:pPr>
        <w:numPr>
          <w:ilvl w:val="0"/>
          <w:numId w:val="14"/>
        </w:numPr>
        <w:spacing w:before="60"/>
        <w:jc w:val="both"/>
        <w:rPr>
          <w:color w:val="313131"/>
          <w:szCs w:val="18"/>
        </w:rPr>
      </w:pPr>
      <w:r w:rsidRPr="00C25F83">
        <w:rPr>
          <w:color w:val="313131"/>
          <w:szCs w:val="18"/>
        </w:rPr>
        <w:t>cheltuieli privind achiziţia de echipamente, utilaje, instalaţii şi tehnologii necesare reluării activităţii curente/operaţionale;</w:t>
      </w:r>
    </w:p>
    <w:p w14:paraId="503FC53C" w14:textId="77777777" w:rsidR="00D37159" w:rsidRPr="00C25F83" w:rsidRDefault="00D37159" w:rsidP="00C61121">
      <w:pPr>
        <w:numPr>
          <w:ilvl w:val="0"/>
          <w:numId w:val="14"/>
        </w:numPr>
        <w:spacing w:before="60"/>
        <w:jc w:val="both"/>
        <w:rPr>
          <w:color w:val="313131"/>
          <w:szCs w:val="18"/>
        </w:rPr>
      </w:pPr>
      <w:r w:rsidRPr="00C25F83">
        <w:rPr>
          <w:color w:val="313131"/>
          <w:szCs w:val="18"/>
        </w:rPr>
        <w:t>cheltuieli privind plata datoriilor către bugetul statului şi bugetele locale.</w:t>
      </w:r>
    </w:p>
    <w:p w14:paraId="397E821D" w14:textId="77777777" w:rsidR="00D37159" w:rsidRPr="00C25F83" w:rsidRDefault="00D37159" w:rsidP="00C61121">
      <w:pPr>
        <w:pStyle w:val="NormalWeb"/>
        <w:spacing w:before="60" w:beforeAutospacing="0" w:after="0" w:afterAutospacing="0"/>
        <w:jc w:val="both"/>
        <w:rPr>
          <w:rFonts w:ascii="Verdana" w:hAnsi="Verdana"/>
          <w:color w:val="313131"/>
          <w:sz w:val="18"/>
          <w:szCs w:val="18"/>
        </w:rPr>
      </w:pPr>
      <w:r w:rsidRPr="00C25F83">
        <w:rPr>
          <w:rFonts w:ascii="Verdana" w:hAnsi="Verdana"/>
          <w:color w:val="313131"/>
          <w:sz w:val="18"/>
          <w:szCs w:val="18"/>
        </w:rPr>
        <w:t>Înscrierea în cadrul măsurii se va face prin intermediul platformei </w:t>
      </w:r>
      <w:hyperlink r:id="rId32" w:anchor="/home" w:tgtFrame="_blank" w:history="1">
        <w:r w:rsidRPr="00C25F83">
          <w:rPr>
            <w:rStyle w:val="Hyperlink"/>
          </w:rPr>
          <w:t>granturi.imm.gov.ro</w:t>
        </w:r>
      </w:hyperlink>
      <w:r w:rsidRPr="00C25F83">
        <w:rPr>
          <w:rFonts w:ascii="Verdana" w:hAnsi="Verdana"/>
          <w:color w:val="313131"/>
          <w:sz w:val="18"/>
          <w:szCs w:val="18"/>
        </w:rPr>
        <w:t>, iar aplicația va fi deschisă timp de 5 zile.</w:t>
      </w:r>
    </w:p>
    <w:p w14:paraId="45525AEA" w14:textId="77777777" w:rsidR="00D37159" w:rsidRPr="00C25F83" w:rsidRDefault="00A53D90" w:rsidP="00C61121">
      <w:pPr>
        <w:pStyle w:val="NormalWeb"/>
        <w:spacing w:before="60" w:beforeAutospacing="0" w:after="0" w:afterAutospacing="0"/>
        <w:jc w:val="both"/>
        <w:rPr>
          <w:rFonts w:ascii="Verdana" w:hAnsi="Verdana"/>
          <w:color w:val="313131"/>
          <w:sz w:val="18"/>
          <w:szCs w:val="18"/>
        </w:rPr>
      </w:pPr>
      <w:hyperlink r:id="rId33" w:tgtFrame="_blank" w:history="1">
        <w:r w:rsidR="00D37159" w:rsidRPr="00C25F83">
          <w:rPr>
            <w:rStyle w:val="Emphasis"/>
            <w:b/>
            <w:bCs/>
            <w:color w:val="0000FF"/>
            <w:u w:val="single"/>
          </w:rPr>
          <w:t>Descarcă</w:t>
        </w:r>
        <w:r w:rsidR="00D37159" w:rsidRPr="00C25F83">
          <w:rPr>
            <w:rStyle w:val="Hyperlink"/>
          </w:rPr>
          <w:t> </w:t>
        </w:r>
      </w:hyperlink>
      <w:r w:rsidR="00D37159" w:rsidRPr="00C25F83">
        <w:rPr>
          <w:rFonts w:ascii="Verdana" w:hAnsi="Verdana"/>
          <w:color w:val="313131"/>
          <w:sz w:val="18"/>
          <w:szCs w:val="18"/>
        </w:rPr>
        <w:t>proiectul de procedură</w:t>
      </w:r>
    </w:p>
    <w:p w14:paraId="0376AEAF" w14:textId="77777777" w:rsidR="00D37159" w:rsidRPr="00C25F83" w:rsidRDefault="00D37159" w:rsidP="00C61121">
      <w:pPr>
        <w:pStyle w:val="NormalWeb"/>
        <w:spacing w:before="60" w:beforeAutospacing="0" w:after="0" w:afterAutospacing="0"/>
        <w:jc w:val="both"/>
        <w:rPr>
          <w:rFonts w:ascii="Verdana" w:hAnsi="Verdana"/>
          <w:color w:val="313131"/>
          <w:sz w:val="18"/>
          <w:szCs w:val="18"/>
        </w:rPr>
      </w:pPr>
      <w:r w:rsidRPr="00C25F83">
        <w:rPr>
          <w:rFonts w:ascii="Verdana" w:hAnsi="Verdana"/>
          <w:color w:val="313131"/>
          <w:sz w:val="18"/>
          <w:szCs w:val="18"/>
        </w:rPr>
        <w:t>Cetățenii și instituțiile interesate pot transmite opinii/propuneri/sugestii în termen de 10 zile de la data publicării, respectiv 17 mai 2022, la adresa de e-mail: </w:t>
      </w:r>
      <w:hyperlink r:id="rId34" w:history="1">
        <w:r w:rsidRPr="00C25F83">
          <w:rPr>
            <w:rStyle w:val="Hyperlink"/>
          </w:rPr>
          <w:t>cabinet.moise@madr.ro</w:t>
        </w:r>
      </w:hyperlink>
      <w:r w:rsidRPr="00C25F83">
        <w:rPr>
          <w:rFonts w:ascii="Verdana" w:hAnsi="Verdana"/>
          <w:color w:val="313131"/>
          <w:sz w:val="18"/>
          <w:szCs w:val="18"/>
        </w:rPr>
        <w:t>.</w:t>
      </w:r>
    </w:p>
    <w:p w14:paraId="15D5642D" w14:textId="77777777" w:rsidR="00D37159" w:rsidRPr="00C25F83" w:rsidRDefault="00D37159" w:rsidP="00F47201">
      <w:pPr>
        <w:pStyle w:val="Stilsursa"/>
      </w:pPr>
      <w:r w:rsidRPr="00C25F83">
        <w:t>Sursa: MADR</w:t>
      </w:r>
    </w:p>
    <w:p w14:paraId="749FFC6D" w14:textId="3670C48D" w:rsidR="00D37159" w:rsidRPr="00C25F83" w:rsidRDefault="00D37159" w:rsidP="00F47201">
      <w:pPr>
        <w:pStyle w:val="separatorarticole"/>
      </w:pPr>
      <w:r w:rsidRPr="00C25F83">
        <w:t>*</w:t>
      </w:r>
    </w:p>
    <w:p w14:paraId="70384541" w14:textId="77777777" w:rsidR="00213439" w:rsidRPr="00C25F83" w:rsidRDefault="00213439" w:rsidP="00F47201">
      <w:pPr>
        <w:pStyle w:val="TitluArticolinINFOUE"/>
        <w:rPr>
          <w:lang w:eastAsia="ro-RO"/>
        </w:rPr>
      </w:pPr>
      <w:bookmarkStart w:id="153" w:name="_Toc104197280"/>
      <w:r w:rsidRPr="00C25F83">
        <w:lastRenderedPageBreak/>
        <w:t>Boloș: Măsura 4.1.1 va fi lansată la începutul lunii iulie. În iunie va fi publicată în consultare</w:t>
      </w:r>
      <w:bookmarkEnd w:id="153"/>
    </w:p>
    <w:p w14:paraId="73CD02FB" w14:textId="77777777" w:rsidR="00213439" w:rsidRPr="00C25F83" w:rsidRDefault="00213439" w:rsidP="00C25F83">
      <w:pPr>
        <w:pStyle w:val="NormalWeb"/>
        <w:spacing w:before="0" w:beforeAutospacing="0" w:after="150" w:afterAutospacing="0"/>
        <w:rPr>
          <w:rFonts w:ascii="Verdana" w:hAnsi="Verdana"/>
          <w:color w:val="313131"/>
          <w:sz w:val="18"/>
          <w:szCs w:val="18"/>
        </w:rPr>
      </w:pPr>
      <w:r w:rsidRPr="00C25F83">
        <w:rPr>
          <w:rFonts w:ascii="Verdana" w:hAnsi="Verdana"/>
          <w:color w:val="313131"/>
          <w:sz w:val="18"/>
          <w:szCs w:val="18"/>
        </w:rPr>
        <w:t>Ministrul investițiilor și proiectelor europene, Marcel Ioan Boloș, a declarat sâmbătă, 14 mai 2022, că Acțiunea 4.1.1 - Investiții în activități productive din cadrul Programului Operațional Competitivitate are o alocare propusă de aproximativ 412 milioane de euro și „</w:t>
      </w:r>
      <w:r w:rsidRPr="00C25F83">
        <w:rPr>
          <w:rStyle w:val="Emphasis"/>
          <w:color w:val="313131"/>
        </w:rPr>
        <w:t>va fi publicată în consultare publică în intervalul 2-12 iunie, urmând ca apelul să fie lansat cel mai târziu la începutul lunii iulie 2022</w:t>
      </w:r>
      <w:r w:rsidRPr="00C25F83">
        <w:rPr>
          <w:rFonts w:ascii="Verdana" w:hAnsi="Verdana"/>
          <w:color w:val="313131"/>
          <w:sz w:val="18"/>
          <w:szCs w:val="18"/>
        </w:rPr>
        <w:t>”.</w:t>
      </w:r>
    </w:p>
    <w:p w14:paraId="1AF853B8" w14:textId="77777777" w:rsidR="00213439" w:rsidRPr="00C25F83" w:rsidRDefault="00213439" w:rsidP="00C25F83">
      <w:pPr>
        <w:pStyle w:val="NormalWeb"/>
        <w:spacing w:before="0" w:beforeAutospacing="0" w:after="150" w:afterAutospacing="0"/>
        <w:rPr>
          <w:rFonts w:ascii="Verdana" w:hAnsi="Verdana"/>
          <w:color w:val="313131"/>
          <w:sz w:val="18"/>
          <w:szCs w:val="18"/>
        </w:rPr>
      </w:pPr>
      <w:r w:rsidRPr="00C25F83">
        <w:rPr>
          <w:rFonts w:ascii="Verdana" w:hAnsi="Verdana"/>
          <w:color w:val="313131"/>
          <w:sz w:val="18"/>
          <w:szCs w:val="18"/>
        </w:rPr>
        <w:t>Conform ministrului, depunerea proiectelor se va face timp de 15 zile, iar finalizarea contractării este prevăzută pentru mijlocul lunii octombrie 2022.</w:t>
      </w:r>
    </w:p>
    <w:p w14:paraId="43B06920" w14:textId="77777777" w:rsidR="00213439" w:rsidRPr="00C25F83" w:rsidRDefault="00213439" w:rsidP="00C25F83">
      <w:pPr>
        <w:pStyle w:val="NormalWeb"/>
        <w:spacing w:before="0" w:beforeAutospacing="0" w:after="150" w:afterAutospacing="0"/>
        <w:rPr>
          <w:rFonts w:ascii="Verdana" w:hAnsi="Verdana"/>
          <w:color w:val="313131"/>
          <w:sz w:val="18"/>
          <w:szCs w:val="18"/>
        </w:rPr>
      </w:pPr>
      <w:r w:rsidRPr="00C25F83">
        <w:rPr>
          <w:rFonts w:ascii="Verdana" w:hAnsi="Verdana"/>
          <w:color w:val="313131"/>
          <w:sz w:val="18"/>
          <w:szCs w:val="18"/>
        </w:rPr>
        <w:t>În ceea ce privește bugetul, acesta va fi alocat astfel:</w:t>
      </w:r>
    </w:p>
    <w:p w14:paraId="61BDBBB4" w14:textId="77777777" w:rsidR="00213439" w:rsidRPr="00C25F83" w:rsidRDefault="00213439" w:rsidP="00E2217B">
      <w:pPr>
        <w:numPr>
          <w:ilvl w:val="0"/>
          <w:numId w:val="9"/>
        </w:numPr>
        <w:spacing w:before="100" w:beforeAutospacing="1" w:after="100" w:afterAutospacing="1"/>
        <w:rPr>
          <w:color w:val="313131"/>
          <w:szCs w:val="18"/>
        </w:rPr>
      </w:pPr>
      <w:r w:rsidRPr="00C25F83">
        <w:rPr>
          <w:color w:val="313131"/>
          <w:szCs w:val="18"/>
        </w:rPr>
        <w:t>granturi între 50.000 și 200.000 de euro pentru susținerea activităților din domeniul sănătate, învățământ și servicii pentru populație cum ar fi cele de înfrumusețare, coafor etc;</w:t>
      </w:r>
    </w:p>
    <w:p w14:paraId="46D6C261" w14:textId="77777777" w:rsidR="00213439" w:rsidRPr="00C25F83" w:rsidRDefault="00213439" w:rsidP="00E2217B">
      <w:pPr>
        <w:numPr>
          <w:ilvl w:val="0"/>
          <w:numId w:val="9"/>
        </w:numPr>
        <w:spacing w:before="100" w:beforeAutospacing="1" w:after="100" w:afterAutospacing="1"/>
        <w:rPr>
          <w:color w:val="313131"/>
          <w:szCs w:val="18"/>
        </w:rPr>
      </w:pPr>
      <w:r w:rsidRPr="00C25F83">
        <w:rPr>
          <w:color w:val="313131"/>
          <w:szCs w:val="18"/>
        </w:rPr>
        <w:t>granturi între 200.000 și 1 milion de euro pentru activitățile economice din domeniul producției, construcții, transport și depozitare, hoteluri și restaurante, reparații auto/moto etc.</w:t>
      </w:r>
    </w:p>
    <w:p w14:paraId="6156BF28" w14:textId="77777777" w:rsidR="00213439" w:rsidRPr="00C25F83" w:rsidRDefault="00213439" w:rsidP="00F47201">
      <w:pPr>
        <w:pStyle w:val="Stilsursa"/>
      </w:pPr>
      <w:r w:rsidRPr="00C25F83">
        <w:t>Sursa: Facebook | Marcel Ioan Boloș</w:t>
      </w:r>
    </w:p>
    <w:p w14:paraId="6C9B3DFC" w14:textId="77777777" w:rsidR="00A9456F" w:rsidRDefault="00A9456F" w:rsidP="00A9456F">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4" w:name="_Toc104197281"/>
      <w:bookmarkEnd w:id="146"/>
      <w:r w:rsidRPr="00AA06A7">
        <w:rPr>
          <w:color w:val="006600"/>
          <w:sz w:val="18"/>
          <w:szCs w:val="18"/>
        </w:rPr>
        <w:t xml:space="preserve">APELURI – </w:t>
      </w:r>
      <w:r w:rsidRPr="00AA06A7">
        <w:rPr>
          <w:color w:val="3B3838" w:themeColor="background2" w:themeShade="40"/>
          <w:sz w:val="18"/>
          <w:szCs w:val="18"/>
        </w:rPr>
        <w:t>Finanțări</w:t>
      </w:r>
      <w:bookmarkEnd w:id="154"/>
    </w:p>
    <w:p w14:paraId="63326193" w14:textId="77777777" w:rsidR="00B2284B" w:rsidRPr="00CB5F05" w:rsidRDefault="00B2284B" w:rsidP="00CB5F05">
      <w:pPr>
        <w:pStyle w:val="TitluArticolinINFOUE"/>
        <w:rPr>
          <w:lang w:eastAsia="ro-RO"/>
        </w:rPr>
      </w:pPr>
      <w:bookmarkStart w:id="155" w:name="_Toc104197282"/>
      <w:r w:rsidRPr="00CB5F05">
        <w:t>A fost aprobată schema de ajutor de stat pentru compensarea creșterii prețului la combustibil pentru transportatori și distribuitori! 300 de milioane de lei pentru aproximativ 3.000 de beneficiari</w:t>
      </w:r>
      <w:bookmarkEnd w:id="155"/>
    </w:p>
    <w:p w14:paraId="194CEB70" w14:textId="77777777" w:rsidR="00B2284B" w:rsidRPr="00CB5F05" w:rsidRDefault="00B2284B" w:rsidP="00CB5F05">
      <w:pPr>
        <w:pStyle w:val="NormalWeb"/>
        <w:spacing w:before="0" w:beforeAutospacing="0" w:after="150" w:afterAutospacing="0"/>
        <w:rPr>
          <w:rFonts w:ascii="Verdana" w:hAnsi="Verdana"/>
          <w:color w:val="313131"/>
          <w:sz w:val="18"/>
          <w:szCs w:val="18"/>
        </w:rPr>
      </w:pPr>
      <w:r w:rsidRPr="00CB5F05">
        <w:rPr>
          <w:rFonts w:ascii="Verdana" w:hAnsi="Verdana"/>
          <w:color w:val="313131"/>
          <w:sz w:val="18"/>
          <w:szCs w:val="18"/>
        </w:rPr>
        <w:t>Executivul a aprobat ieri, 18 mai 2022, în ședința de guvern, schema de ajutor de stat pentru compensarea creșterii prețului la combustibil în contextul situației internaționale, dedicată transportatorilor și distribuitorilor.</w:t>
      </w:r>
    </w:p>
    <w:p w14:paraId="36F0DE50" w14:textId="77777777" w:rsidR="00B2284B" w:rsidRPr="00CB5F05" w:rsidRDefault="00B2284B" w:rsidP="00CB5F05">
      <w:pPr>
        <w:pStyle w:val="NormalWeb"/>
        <w:spacing w:before="0" w:beforeAutospacing="0" w:after="150" w:afterAutospacing="0"/>
        <w:rPr>
          <w:rFonts w:ascii="Verdana" w:hAnsi="Verdana"/>
          <w:color w:val="313131"/>
          <w:sz w:val="18"/>
          <w:szCs w:val="18"/>
        </w:rPr>
      </w:pPr>
      <w:r w:rsidRPr="00CB5F05">
        <w:rPr>
          <w:rFonts w:ascii="Verdana" w:hAnsi="Verdana"/>
          <w:color w:val="313131"/>
          <w:sz w:val="18"/>
          <w:szCs w:val="18"/>
        </w:rPr>
        <w:t>Schema de ajutor de stat are un buget alocat de </w:t>
      </w:r>
      <w:r w:rsidRPr="00CB5F05">
        <w:rPr>
          <w:rStyle w:val="Strong"/>
          <w:color w:val="313131"/>
        </w:rPr>
        <w:t>300 de milioane de lei, pentru un număr estimat de 3.000 de beneficiari. Ajutorul se va acorda sub formă de grant, în valoare</w:t>
      </w:r>
      <w:r w:rsidRPr="00CB5F05">
        <w:rPr>
          <w:rFonts w:ascii="Verdana" w:hAnsi="Verdana"/>
          <w:color w:val="313131"/>
          <w:sz w:val="18"/>
          <w:szCs w:val="18"/>
        </w:rPr>
        <w:t> de </w:t>
      </w:r>
      <w:r w:rsidRPr="00CB5F05">
        <w:rPr>
          <w:rStyle w:val="Strong"/>
          <w:color w:val="313131"/>
        </w:rPr>
        <w:t>50 bani pe litrul de combustibil</w:t>
      </w:r>
      <w:r w:rsidRPr="00CB5F05">
        <w:rPr>
          <w:rFonts w:ascii="Verdana" w:hAnsi="Verdana"/>
          <w:color w:val="313131"/>
          <w:sz w:val="18"/>
          <w:szCs w:val="18"/>
        </w:rPr>
        <w:t>, dar </w:t>
      </w:r>
      <w:r w:rsidRPr="00CB5F05">
        <w:rPr>
          <w:rStyle w:val="Strong"/>
          <w:color w:val="313131"/>
        </w:rPr>
        <w:t>nu mai mult de 400.000 euro per întreprindere</w:t>
      </w:r>
      <w:r w:rsidRPr="00CB5F05">
        <w:rPr>
          <w:rFonts w:ascii="Verdana" w:hAnsi="Verdana"/>
          <w:color w:val="313131"/>
          <w:sz w:val="18"/>
          <w:szCs w:val="18"/>
        </w:rPr>
        <w:t>, echivalent în lei.</w:t>
      </w:r>
    </w:p>
    <w:p w14:paraId="518D667F" w14:textId="77777777" w:rsidR="00B2284B" w:rsidRPr="00CB5F05" w:rsidRDefault="00B2284B" w:rsidP="00CB5F05">
      <w:pPr>
        <w:pStyle w:val="NormalWeb"/>
        <w:spacing w:before="0" w:beforeAutospacing="0" w:after="150" w:afterAutospacing="0"/>
        <w:rPr>
          <w:rFonts w:ascii="Verdana" w:hAnsi="Verdana"/>
          <w:color w:val="313131"/>
          <w:sz w:val="18"/>
          <w:szCs w:val="18"/>
        </w:rPr>
      </w:pPr>
      <w:r w:rsidRPr="00CB5F05">
        <w:rPr>
          <w:rFonts w:ascii="Verdana" w:hAnsi="Verdana"/>
          <w:color w:val="313131"/>
          <w:sz w:val="18"/>
          <w:szCs w:val="18"/>
        </w:rPr>
        <w:t>Potrivit purtătorului de cuvânt al Guvernului, Dan Cărbunaru, bugetul poate fi suplimentat „</w:t>
      </w:r>
      <w:r w:rsidRPr="00CB5F05">
        <w:rPr>
          <w:rStyle w:val="Emphasis"/>
          <w:color w:val="313131"/>
        </w:rPr>
        <w:t>prin credite de angajament în vederea emiterii angajamentelor legale aferente deciziilor centralizatoare de compensare pentru perioada 2022 - 31 iulie 2023, dar și prin credite bugetare în vederea plății ajutorului de stat acordat în baza deciziilor centralizatoare de compensare pentru respectiva perioadă</w:t>
      </w:r>
      <w:r w:rsidRPr="00CB5F05">
        <w:rPr>
          <w:rFonts w:ascii="Verdana" w:hAnsi="Verdana"/>
          <w:color w:val="313131"/>
          <w:sz w:val="18"/>
          <w:szCs w:val="18"/>
        </w:rPr>
        <w:t>”.</w:t>
      </w:r>
    </w:p>
    <w:p w14:paraId="38A20242" w14:textId="77777777" w:rsidR="00B2284B" w:rsidRPr="00CB5F05" w:rsidRDefault="00B2284B" w:rsidP="00CB5F05">
      <w:pPr>
        <w:pStyle w:val="NormalWeb"/>
        <w:spacing w:before="0" w:beforeAutospacing="0" w:after="150" w:afterAutospacing="0"/>
        <w:rPr>
          <w:rFonts w:ascii="Verdana" w:hAnsi="Verdana"/>
          <w:color w:val="313131"/>
          <w:sz w:val="18"/>
          <w:szCs w:val="18"/>
        </w:rPr>
      </w:pPr>
      <w:r w:rsidRPr="00CB5F05">
        <w:rPr>
          <w:rFonts w:ascii="Verdana" w:hAnsi="Verdana"/>
          <w:color w:val="313131"/>
          <w:sz w:val="18"/>
          <w:szCs w:val="18"/>
        </w:rPr>
        <w:t>De asemenea, ajutorul se va acorda pentru combustibilul achiziționat începând cu 30 de zile anterioare publicării în Monitorul Oficial a actului normativ, urmând ca plata efectivă a ajutoarelor să se efectueze până la finalul anului viitor, „ </w:t>
      </w:r>
      <w:r w:rsidRPr="00CB5F05">
        <w:rPr>
          <w:rStyle w:val="Emphasis"/>
          <w:color w:val="313131"/>
        </w:rPr>
        <w:t>în limita bugetului alocat schemei, în baza dispoziţiilor de plată emise până la 31 decembrie 2022”</w:t>
      </w:r>
      <w:r w:rsidRPr="00CB5F05">
        <w:rPr>
          <w:rFonts w:ascii="Verdana" w:hAnsi="Verdana"/>
          <w:color w:val="313131"/>
          <w:sz w:val="18"/>
          <w:szCs w:val="18"/>
        </w:rPr>
        <w:t>, a menționat acesta.</w:t>
      </w:r>
    </w:p>
    <w:p w14:paraId="3A3D7BF0" w14:textId="77777777" w:rsidR="00B2284B" w:rsidRPr="00CB5F05" w:rsidRDefault="00B2284B" w:rsidP="00CB5F05">
      <w:pPr>
        <w:pStyle w:val="NormalWeb"/>
        <w:spacing w:before="0" w:beforeAutospacing="0" w:after="150" w:afterAutospacing="0"/>
        <w:rPr>
          <w:rFonts w:ascii="Verdana" w:hAnsi="Verdana"/>
          <w:color w:val="313131"/>
          <w:sz w:val="18"/>
          <w:szCs w:val="18"/>
        </w:rPr>
      </w:pPr>
      <w:r w:rsidRPr="00CB5F05">
        <w:rPr>
          <w:rFonts w:ascii="Verdana" w:hAnsi="Verdana"/>
          <w:color w:val="313131"/>
          <w:sz w:val="18"/>
          <w:szCs w:val="18"/>
        </w:rPr>
        <w:t>Schema de ajutor de stat a fost lansată în </w:t>
      </w:r>
      <w:hyperlink r:id="rId35" w:history="1">
        <w:r w:rsidRPr="00CB5F05">
          <w:rPr>
            <w:rStyle w:val="Hyperlink"/>
          </w:rPr>
          <w:t>consultare publică</w:t>
        </w:r>
      </w:hyperlink>
      <w:r w:rsidRPr="00CB5F05">
        <w:rPr>
          <w:rFonts w:ascii="Verdana" w:hAnsi="Verdana"/>
          <w:color w:val="313131"/>
          <w:sz w:val="18"/>
          <w:szCs w:val="18"/>
        </w:rPr>
        <w:t> în data de 3 mai 2022.</w:t>
      </w:r>
    </w:p>
    <w:p w14:paraId="41A415D6" w14:textId="77777777" w:rsidR="00B2284B" w:rsidRPr="00CB5F05" w:rsidRDefault="00B2284B" w:rsidP="00CB5F05">
      <w:pPr>
        <w:pStyle w:val="Stilsursa"/>
      </w:pPr>
      <w:r w:rsidRPr="00CB5F05">
        <w:t>Sursa: Guvernul României</w:t>
      </w:r>
    </w:p>
    <w:p w14:paraId="718E94AF" w14:textId="7B47BD58" w:rsidR="00B2284B" w:rsidRPr="00CB5F05" w:rsidRDefault="00B2284B" w:rsidP="00CB5F05">
      <w:pPr>
        <w:pStyle w:val="separatorarticole"/>
      </w:pPr>
      <w:r w:rsidRPr="00CB5F05">
        <w:t>*</w:t>
      </w:r>
    </w:p>
    <w:p w14:paraId="7B6EA3C7" w14:textId="0A37D428" w:rsidR="00C25F83" w:rsidRPr="00607355" w:rsidRDefault="00C25F83" w:rsidP="00CD63E5">
      <w:pPr>
        <w:pStyle w:val="TitluArticolinINFOUE"/>
        <w:rPr>
          <w:lang w:eastAsia="ro-RO"/>
        </w:rPr>
      </w:pPr>
      <w:bookmarkStart w:id="156" w:name="_Toc104197283"/>
      <w:r w:rsidRPr="00607355">
        <w:t>Modificări aprobate pentru POC 2014-2020: Bugetul Acțiunii 4.1.1, în valoare de 350 de milioane de euro</w:t>
      </w:r>
      <w:bookmarkEnd w:id="156"/>
    </w:p>
    <w:p w14:paraId="06494A57" w14:textId="4D255878" w:rsidR="00C25F83" w:rsidRPr="00607355" w:rsidRDefault="00C25F83" w:rsidP="00CD63E5">
      <w:pPr>
        <w:pStyle w:val="TitluArticolinINFOUE"/>
        <w:rPr>
          <w:color w:val="313131"/>
        </w:rPr>
      </w:pPr>
      <w:bookmarkStart w:id="157" w:name="_Toc104197284"/>
      <w:r w:rsidRPr="00607355">
        <w:rPr>
          <w:color w:val="313131"/>
        </w:rPr>
        <w:t>În cursul zilei de marți, 17 mai 2022, la sediul Ministerului Investițiilor și Proiectelor Europene a avut loc o reuniune a comitetului de monitorizare pentru Programul Operaţional Competitivitate (POC) 2014-2020.</w:t>
      </w:r>
      <w:bookmarkEnd w:id="157"/>
    </w:p>
    <w:p w14:paraId="44B5A932" w14:textId="77777777" w:rsidR="00C25F83" w:rsidRPr="00607355" w:rsidRDefault="00C25F83"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În cadrul întâlnirii, membrii comitetului au aprobat o serie de modificări/completări a anumitor elemente din program, precum:</w:t>
      </w:r>
    </w:p>
    <w:p w14:paraId="0828C8D8" w14:textId="77777777" w:rsidR="00C25F83" w:rsidRPr="00607355" w:rsidRDefault="00C25F83"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u w:val="single"/>
        </w:rPr>
        <w:t>Pentru Acțiunea 4.1.1</w:t>
      </w:r>
      <w:r w:rsidRPr="00607355">
        <w:rPr>
          <w:rFonts w:ascii="Verdana" w:hAnsi="Verdana"/>
          <w:color w:val="313131"/>
          <w:sz w:val="18"/>
          <w:szCs w:val="18"/>
        </w:rPr>
        <w:t>, se vor finanța granturi pentru investiții în retehnologizare acordate IMM-urilor în vederea refacerii capacității de reziliență, în valoare de 350.000.000 euro FEDR, astfel:</w:t>
      </w:r>
    </w:p>
    <w:p w14:paraId="1FADCC9B" w14:textId="77777777" w:rsidR="00C25F83" w:rsidRPr="00607355" w:rsidRDefault="00C25F83" w:rsidP="00E2217B">
      <w:pPr>
        <w:numPr>
          <w:ilvl w:val="0"/>
          <w:numId w:val="16"/>
        </w:numPr>
        <w:rPr>
          <w:color w:val="313131"/>
          <w:szCs w:val="18"/>
        </w:rPr>
      </w:pPr>
      <w:r w:rsidRPr="00607355">
        <w:rPr>
          <w:color w:val="313131"/>
          <w:szCs w:val="18"/>
        </w:rPr>
        <w:lastRenderedPageBreak/>
        <w:t>granturi pentru investiții necesare capacităților de prestare de servicii, sub forma de ajutor de minimis, cu o valoare cuprinsă între minim 50.000 euro și maxim 200.000 euro, în limita de cinci ori cifra de afaceri realizată în anul 2019, pentru beneficiarii care își desfășoară activitate in Clasa P Invățământ, Clasa Q Sănătate si asistența socială, Clasa S – Alte activități de servicii. Alocare: 50.000.000 euro FEDR;</w:t>
      </w:r>
    </w:p>
    <w:p w14:paraId="698F0A62" w14:textId="77777777" w:rsidR="00C25F83" w:rsidRPr="00607355" w:rsidRDefault="00C25F83" w:rsidP="00E2217B">
      <w:pPr>
        <w:numPr>
          <w:ilvl w:val="0"/>
          <w:numId w:val="16"/>
        </w:numPr>
        <w:rPr>
          <w:color w:val="313131"/>
          <w:szCs w:val="18"/>
        </w:rPr>
      </w:pPr>
      <w:r w:rsidRPr="00607355">
        <w:rPr>
          <w:color w:val="313131"/>
          <w:szCs w:val="18"/>
        </w:rPr>
        <w:t>granturile pentru investiții necesare retehnologizării, sub forma de ajutor de stat, cu o valoare cuprinsă între 200.000 euro și 1.000.000 euro, în limita de cinci ori cifra de afaceri realizată în anul 2019, pentru beneficiarii care îşi desfăşoară activitatea în Clasa Clasa C – Industria Prelucrătoare, fără codurile 11 fabricare băuturi, 12 fabricare tutun și 254 fabricarea armamentului și muniției; Clasa F – Construcții; Clasa G –Repararea autovehiculelor și motocicletelor; Clasa H – Transport și depozitare; Clasa I – Hoteluri și restaurante doar pentru activitatea de servii de cazare și echipamente și mobilier specific de alimentație publică. Alocare: 300.000.000 euro FEDR.</w:t>
      </w:r>
    </w:p>
    <w:p w14:paraId="2F8E34A8" w14:textId="77777777" w:rsidR="00C25F83" w:rsidRPr="00607355" w:rsidRDefault="00C25F83"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Valoarea de 350.000.000 euro FEDR se compune din 300.000.000 euro FEDR alocare Acțiunea 4.1.1., la care se adaugă 50.000.000 euro FEDR ce se vor transfera de la Acțiunea 4.1.2.</w:t>
      </w:r>
    </w:p>
    <w:p w14:paraId="7D86EFD0" w14:textId="77777777" w:rsidR="00C25F83" w:rsidRPr="00607355" w:rsidRDefault="00C25F83" w:rsidP="00607355">
      <w:pPr>
        <w:pStyle w:val="NormalWeb"/>
        <w:spacing w:before="120" w:beforeAutospacing="0" w:after="0" w:afterAutospacing="0"/>
        <w:rPr>
          <w:rFonts w:ascii="Verdana" w:hAnsi="Verdana"/>
          <w:color w:val="313131"/>
          <w:sz w:val="18"/>
          <w:szCs w:val="18"/>
        </w:rPr>
      </w:pPr>
      <w:r w:rsidRPr="00607355">
        <w:rPr>
          <w:rStyle w:val="Emphasis"/>
          <w:color w:val="313131"/>
        </w:rPr>
        <w:t>Nota redacției: </w:t>
      </w:r>
      <w:hyperlink r:id="rId36" w:tgtFrame="_blank" w:history="1">
        <w:r w:rsidRPr="00607355">
          <w:rPr>
            <w:rStyle w:val="Emphasis"/>
            <w:color w:val="0000FF"/>
            <w:u w:val="single"/>
          </w:rPr>
          <w:t>Ultima variantă lansată în consultare publică</w:t>
        </w:r>
      </w:hyperlink>
      <w:r w:rsidRPr="00607355">
        <w:rPr>
          <w:rStyle w:val="Emphasis"/>
          <w:color w:val="313131"/>
        </w:rPr>
        <w:t> în data de 22 martie 2022 prevedea o alocare bugetară în valoare de 358.384.803,64 euro.</w:t>
      </w:r>
      <w:r w:rsidRPr="00607355">
        <w:rPr>
          <w:rFonts w:ascii="Verdana" w:hAnsi="Verdana"/>
          <w:color w:val="313131"/>
          <w:sz w:val="18"/>
          <w:szCs w:val="18"/>
        </w:rPr>
        <w:t> </w:t>
      </w:r>
      <w:r w:rsidRPr="00607355">
        <w:rPr>
          <w:rStyle w:val="Emphasis"/>
          <w:color w:val="313131"/>
        </w:rPr>
        <w:t>De asemenea, ministrul investițiilor și proiectelor europene, Marcel Ioan Boloș, </w:t>
      </w:r>
      <w:hyperlink r:id="rId37" w:tgtFrame="_blank" w:history="1">
        <w:r w:rsidRPr="00607355">
          <w:rPr>
            <w:rStyle w:val="Emphasis"/>
            <w:color w:val="0000FF"/>
            <w:u w:val="single"/>
          </w:rPr>
          <w:t>a declarat sâmbătă</w:t>
        </w:r>
      </w:hyperlink>
      <w:r w:rsidRPr="00607355">
        <w:rPr>
          <w:rStyle w:val="Emphasis"/>
          <w:color w:val="313131"/>
        </w:rPr>
        <w:t>, 14 mai 2022, faptul că măsura are o alocare propusă de aproximativ 412 de milioane de euro.</w:t>
      </w:r>
    </w:p>
    <w:p w14:paraId="3CAAF626" w14:textId="77777777" w:rsidR="00C25F83" w:rsidRPr="00607355" w:rsidRDefault="00C25F83"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u w:val="single"/>
        </w:rPr>
        <w:t>Pentru acțiunea 4.1.2</w:t>
      </w:r>
      <w:r w:rsidRPr="00607355">
        <w:rPr>
          <w:rFonts w:ascii="Verdana" w:hAnsi="Verdana"/>
          <w:color w:val="313131"/>
          <w:sz w:val="18"/>
          <w:szCs w:val="18"/>
        </w:rPr>
        <w:t> se va oferi sprijin IMM-urilor pentru susținerea activităților curente, prin acordarea de microgranturi și granturi pentru capital de lucru, sub formă de sumă forfetară, astfel:</w:t>
      </w:r>
    </w:p>
    <w:p w14:paraId="05B1E5C0" w14:textId="77777777" w:rsidR="00C25F83" w:rsidRPr="00607355" w:rsidRDefault="00C25F83" w:rsidP="00E2217B">
      <w:pPr>
        <w:numPr>
          <w:ilvl w:val="0"/>
          <w:numId w:val="17"/>
        </w:numPr>
        <w:rPr>
          <w:color w:val="313131"/>
          <w:szCs w:val="18"/>
        </w:rPr>
      </w:pPr>
      <w:r w:rsidRPr="00607355">
        <w:rPr>
          <w:color w:val="313131"/>
          <w:szCs w:val="18"/>
        </w:rPr>
        <w:t>microgranturi pentru activităţi specifice din domeniul industriei agroalimentare, în valoare de 5.000 de euro, sub formă de sumă forfetară. Alocare: 25.000.000 euro FEDR-REACT EU.</w:t>
      </w:r>
    </w:p>
    <w:p w14:paraId="14C7B757" w14:textId="77777777" w:rsidR="00C25F83" w:rsidRPr="00607355" w:rsidRDefault="00C25F83" w:rsidP="00E2217B">
      <w:pPr>
        <w:numPr>
          <w:ilvl w:val="0"/>
          <w:numId w:val="17"/>
        </w:numPr>
        <w:rPr>
          <w:color w:val="313131"/>
          <w:szCs w:val="18"/>
        </w:rPr>
      </w:pPr>
      <w:r w:rsidRPr="00607355">
        <w:rPr>
          <w:color w:val="313131"/>
          <w:szCs w:val="18"/>
        </w:rPr>
        <w:t>granturi pentru capital de lucru pentru activităţi specifice din domeniul industriei agroalimentare, pentru IMM-urile cu cifra de afaceri aferentă anului 2019 mai mare de 33.350 euro, valoarea grantului poate fi de 15% din cifra de afaceri şi nu poate depăşi suma de 120.000 euro. Alocare: 125.000.000 euro FEDR-REACT EU.</w:t>
      </w:r>
    </w:p>
    <w:p w14:paraId="4CD14E1C" w14:textId="77777777" w:rsidR="00C25F83" w:rsidRPr="00607355" w:rsidRDefault="00C25F83"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Cheltuielile aferente producției primare agricole sunt suportate din cofinanțarea bugetului de stat ca urmare a posibilității de a deconta de la Comisia Europeană un procent de 100% cheltuieli eligibile din fondurile alocate FEDR.</w:t>
      </w:r>
    </w:p>
    <w:p w14:paraId="14AE6948" w14:textId="77777777" w:rsidR="00C25F83" w:rsidRPr="00607355" w:rsidRDefault="00C25F83"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Procedura pentru acordarea de granturi pentru capital de lucru a fost lansat în consultare publică pe 13 mai 2022, iar observațiile se pot trimite în termen de 10 zile de la publicare. Mai multe informații sunt disponibile </w:t>
      </w:r>
      <w:hyperlink r:id="rId38" w:tgtFrame="_blank" w:history="1">
        <w:r w:rsidRPr="00607355">
          <w:rPr>
            <w:rStyle w:val="Emphasis"/>
            <w:b/>
            <w:bCs/>
            <w:color w:val="0000FF"/>
            <w:u w:val="single"/>
          </w:rPr>
          <w:t>aici</w:t>
        </w:r>
      </w:hyperlink>
    </w:p>
    <w:p w14:paraId="0209B239" w14:textId="77777777" w:rsidR="00C25F83" w:rsidRPr="00607355" w:rsidRDefault="00C25F83"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În ceea ce privește procedura pentru acordarea de microgranturi, aceasta a fost lansată în consultare publică marți, 17 mai 2022, pentru o perioadă de 10 zile. Mai multe informații sunt disponibile </w:t>
      </w:r>
      <w:hyperlink r:id="rId39" w:tgtFrame="_blank" w:history="1">
        <w:r w:rsidRPr="00607355">
          <w:rPr>
            <w:rStyle w:val="Emphasis"/>
            <w:b/>
            <w:bCs/>
            <w:color w:val="0000FF"/>
            <w:u w:val="single"/>
          </w:rPr>
          <w:t>aici</w:t>
        </w:r>
      </w:hyperlink>
    </w:p>
    <w:p w14:paraId="4906D7A0" w14:textId="77777777" w:rsidR="00C25F83" w:rsidRPr="00607355" w:rsidRDefault="00C25F83"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Reamintim și faptul că </w:t>
      </w:r>
      <w:hyperlink r:id="rId40" w:tgtFrame="_blank" w:history="1">
        <w:r w:rsidRPr="00607355">
          <w:rPr>
            <w:rStyle w:val="Hyperlink"/>
          </w:rPr>
          <w:t>Nota privind graficul de implementare</w:t>
        </w:r>
      </w:hyperlink>
      <w:r w:rsidRPr="00607355">
        <w:rPr>
          <w:rFonts w:ascii="Verdana" w:hAnsi="Verdana"/>
          <w:color w:val="313131"/>
          <w:sz w:val="18"/>
          <w:szCs w:val="18"/>
        </w:rPr>
        <w:t> a celor două măsuri prevede lansarea apelurilor pe data de 26 mai – granturi pentru capital de lucru, respectiv 27 mai – microgranturi.</w:t>
      </w:r>
    </w:p>
    <w:p w14:paraId="6602B800" w14:textId="77777777" w:rsidR="00C25F83" w:rsidRPr="00607355" w:rsidRDefault="00C25F83" w:rsidP="00D860C3">
      <w:pPr>
        <w:pStyle w:val="Stilsursa"/>
      </w:pPr>
      <w:r w:rsidRPr="00607355">
        <w:t>Sursa: MIPE</w:t>
      </w:r>
    </w:p>
    <w:p w14:paraId="56C334C4" w14:textId="1159D5F5" w:rsidR="00C25F83" w:rsidRPr="00607355" w:rsidRDefault="00C25F83" w:rsidP="00D860C3">
      <w:pPr>
        <w:pStyle w:val="separatorarticole"/>
      </w:pPr>
      <w:r w:rsidRPr="00607355">
        <w:t>*</w:t>
      </w:r>
    </w:p>
    <w:p w14:paraId="3915115F" w14:textId="77777777" w:rsidR="00BE26ED" w:rsidRPr="00607355" w:rsidRDefault="00BE26ED" w:rsidP="00D860C3">
      <w:pPr>
        <w:pStyle w:val="TitluArticolinINFOUE"/>
        <w:rPr>
          <w:lang w:eastAsia="ro-RO"/>
        </w:rPr>
      </w:pPr>
      <w:bookmarkStart w:id="158" w:name="_Toc104197285"/>
      <w:r w:rsidRPr="00607355">
        <w:t>ONG-urile din România mai au la dispoziție 3 zile pentru a-și depune aplicațiile în cadrul apelului „Conectare.Dezvoltare.Acces”</w:t>
      </w:r>
      <w:bookmarkEnd w:id="158"/>
    </w:p>
    <w:p w14:paraId="08CDD40B" w14:textId="77777777" w:rsidR="00BE26ED" w:rsidRPr="00607355" w:rsidRDefault="00BE26ED"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Fundația pentru Dezvoltarea Societății Civile (FDSC) a deschis luni, 16 mai 2022, perioada de înscriere în cadrul apelului de proiecte Conectare.Dezvoltare.Acces, dezvoltat în parteneriat cu Enel România.</w:t>
      </w:r>
    </w:p>
    <w:p w14:paraId="5B4C4DE3" w14:textId="77777777" w:rsidR="00BE26ED" w:rsidRPr="00607355" w:rsidRDefault="00BE26ED"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Apelul vizează susținerea proiectelor dezvoltate de către ONG-urile din România în beneficiul comunităților vulnerabile, în vederea sprijinirii zonelor slab dezvoltate în termeni de acces la servicii, educaţie, ocupare, sănătate etc, fiind dedicat inițiativelor care contribuie la cel puțin una din cele trei priorități de intervenție:</w:t>
      </w:r>
    </w:p>
    <w:p w14:paraId="1954D788" w14:textId="77777777" w:rsidR="00BE26ED" w:rsidRPr="00607355" w:rsidRDefault="00BE26ED" w:rsidP="00E2217B">
      <w:pPr>
        <w:numPr>
          <w:ilvl w:val="0"/>
          <w:numId w:val="15"/>
        </w:numPr>
        <w:rPr>
          <w:color w:val="313131"/>
          <w:szCs w:val="18"/>
        </w:rPr>
      </w:pPr>
      <w:r w:rsidRPr="00607355">
        <w:rPr>
          <w:rStyle w:val="Strong"/>
          <w:color w:val="313131"/>
        </w:rPr>
        <w:t>Accesul la educație de calitate</w:t>
      </w:r>
    </w:p>
    <w:p w14:paraId="66DD3C9E" w14:textId="77777777" w:rsidR="00BE26ED" w:rsidRPr="00607355" w:rsidRDefault="00BE26ED" w:rsidP="00E2217B">
      <w:pPr>
        <w:numPr>
          <w:ilvl w:val="0"/>
          <w:numId w:val="15"/>
        </w:numPr>
        <w:rPr>
          <w:color w:val="313131"/>
          <w:szCs w:val="18"/>
        </w:rPr>
      </w:pPr>
      <w:r w:rsidRPr="00607355">
        <w:rPr>
          <w:rStyle w:val="Strong"/>
          <w:color w:val="313131"/>
        </w:rPr>
        <w:lastRenderedPageBreak/>
        <w:t>Accesul la energie, cu focus pe combaterea sărăciei energetice</w:t>
      </w:r>
    </w:p>
    <w:p w14:paraId="506B6CCA" w14:textId="77777777" w:rsidR="00BE26ED" w:rsidRPr="00607355" w:rsidRDefault="00BE26ED" w:rsidP="00E2217B">
      <w:pPr>
        <w:numPr>
          <w:ilvl w:val="0"/>
          <w:numId w:val="15"/>
        </w:numPr>
        <w:rPr>
          <w:color w:val="313131"/>
          <w:szCs w:val="18"/>
        </w:rPr>
      </w:pPr>
      <w:r w:rsidRPr="00607355">
        <w:rPr>
          <w:rStyle w:val="Strong"/>
          <w:color w:val="313131"/>
        </w:rPr>
        <w:t>Dezvoltare economică prin acțiuni de inovare socială</w:t>
      </w:r>
    </w:p>
    <w:p w14:paraId="443950BB" w14:textId="77777777" w:rsidR="00BE26ED" w:rsidRPr="00607355" w:rsidRDefault="00BE26ED"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Bugetul total al apelului de proiecte este în valoare de </w:t>
      </w:r>
      <w:r w:rsidRPr="00607355">
        <w:rPr>
          <w:rStyle w:val="Strong"/>
          <w:color w:val="313131"/>
        </w:rPr>
        <w:t>750.000 de lei</w:t>
      </w:r>
      <w:r w:rsidRPr="00607355">
        <w:rPr>
          <w:rFonts w:ascii="Verdana" w:hAnsi="Verdana"/>
          <w:color w:val="313131"/>
          <w:sz w:val="18"/>
          <w:szCs w:val="18"/>
        </w:rPr>
        <w:t>, sprijinului financiar acordat pentru un proiect fiind de </w:t>
      </w:r>
      <w:r w:rsidRPr="00607355">
        <w:rPr>
          <w:rStyle w:val="Strong"/>
          <w:color w:val="313131"/>
        </w:rPr>
        <w:t>minimum 50.000 de lei</w:t>
      </w:r>
      <w:r w:rsidRPr="00607355">
        <w:rPr>
          <w:rFonts w:ascii="Verdana" w:hAnsi="Verdana"/>
          <w:color w:val="313131"/>
          <w:sz w:val="18"/>
          <w:szCs w:val="18"/>
        </w:rPr>
        <w:t> și </w:t>
      </w:r>
      <w:r w:rsidRPr="00607355">
        <w:rPr>
          <w:rStyle w:val="Strong"/>
          <w:color w:val="313131"/>
        </w:rPr>
        <w:t>maximum 120.000 de lei</w:t>
      </w:r>
      <w:r w:rsidRPr="00607355">
        <w:rPr>
          <w:rFonts w:ascii="Verdana" w:hAnsi="Verdana"/>
          <w:color w:val="313131"/>
          <w:sz w:val="18"/>
          <w:szCs w:val="18"/>
        </w:rPr>
        <w:t>.</w:t>
      </w:r>
    </w:p>
    <w:p w14:paraId="65DAFD7C" w14:textId="77777777" w:rsidR="00BE26ED" w:rsidRPr="00607355" w:rsidRDefault="00BE26ED"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Organizațiile își pot depune candidaturile până în data de 22 mai 2022.</w:t>
      </w:r>
    </w:p>
    <w:p w14:paraId="1D3B58F0" w14:textId="77777777" w:rsidR="00BE26ED" w:rsidRPr="00607355" w:rsidRDefault="00BE26ED"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Pentru mai multe informații puteți consulta rubrica noastră de </w:t>
      </w:r>
      <w:hyperlink r:id="rId41" w:tgtFrame="_blank" w:history="1">
        <w:r w:rsidRPr="00607355">
          <w:rPr>
            <w:rStyle w:val="Emphasis"/>
            <w:b/>
            <w:bCs/>
            <w:color w:val="0000FF"/>
            <w:u w:val="single"/>
          </w:rPr>
          <w:t>alte finanțări</w:t>
        </w:r>
      </w:hyperlink>
      <w:r w:rsidRPr="00607355">
        <w:rPr>
          <w:rFonts w:ascii="Verdana" w:hAnsi="Verdana"/>
          <w:color w:val="313131"/>
          <w:sz w:val="18"/>
          <w:szCs w:val="18"/>
        </w:rPr>
        <w:t>.</w:t>
      </w:r>
    </w:p>
    <w:p w14:paraId="2285EF93" w14:textId="2DD27D8D" w:rsidR="00BE26ED" w:rsidRPr="00D860C3" w:rsidRDefault="00D860C3" w:rsidP="00D860C3">
      <w:pPr>
        <w:pStyle w:val="Stilsursa"/>
      </w:pPr>
      <w:r w:rsidRPr="00D860C3">
        <w:t xml:space="preserve">Sursa: </w:t>
      </w:r>
      <w:r w:rsidR="00BE26ED" w:rsidRPr="00D860C3">
        <w:t>fonduri-structurale.ro</w:t>
      </w:r>
    </w:p>
    <w:p w14:paraId="42951607" w14:textId="0744ADE0" w:rsidR="00BE26ED" w:rsidRPr="00607355" w:rsidRDefault="00BE26ED" w:rsidP="00D860C3">
      <w:pPr>
        <w:pStyle w:val="separatorarticole"/>
      </w:pPr>
      <w:r w:rsidRPr="00607355">
        <w:t>*</w:t>
      </w:r>
    </w:p>
    <w:p w14:paraId="2C1E66E4" w14:textId="3659493F" w:rsidR="00213439" w:rsidRPr="00607355" w:rsidRDefault="00335960" w:rsidP="00D860C3">
      <w:pPr>
        <w:pStyle w:val="TitluArticolinINFOUE"/>
        <w:rPr>
          <w:lang w:eastAsia="ro-RO"/>
        </w:rPr>
      </w:pPr>
      <w:bookmarkStart w:id="159" w:name="_Toc104197287"/>
      <w:r>
        <w:t>A</w:t>
      </w:r>
      <w:r w:rsidR="00213439" w:rsidRPr="00607355">
        <w:t>pelul 2 „În stare de bine”, dedicat ONG-urilor care sprijină creșterea calității vieții grupurilor vulnerabile: Finanțare de până la 250.000 de lei!</w:t>
      </w:r>
      <w:bookmarkEnd w:id="159"/>
    </w:p>
    <w:p w14:paraId="24F93C0E" w14:textId="77777777" w:rsidR="00213439" w:rsidRPr="00607355" w:rsidRDefault="0021343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Programul În Stare de Bine, susținut de Kaufland România și implementat de Fundația pentru Dezvoltarea Societății Civile a anunțat ieri, 16 mai 2022, lansarea </w:t>
      </w:r>
      <w:r w:rsidRPr="00607355">
        <w:rPr>
          <w:rStyle w:val="Strong"/>
          <w:color w:val="313131"/>
        </w:rPr>
        <w:t>Apelului 2 În stare de Bine 2022</w:t>
      </w:r>
      <w:r w:rsidRPr="00607355">
        <w:rPr>
          <w:rFonts w:ascii="Verdana" w:hAnsi="Verdana"/>
          <w:color w:val="313131"/>
          <w:sz w:val="18"/>
          <w:szCs w:val="18"/>
        </w:rPr>
        <w:t>, dedicat inițiativelor dezvoltate de ONG-urile din România în sprijinul grupurilor vulnerabile și a comunităților din care acestea fac parte.</w:t>
      </w:r>
    </w:p>
    <w:p w14:paraId="0881A05C" w14:textId="77777777" w:rsidR="00213439" w:rsidRPr="00607355" w:rsidRDefault="0021343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Programul este dedicat inițiativelor organizațiilor neguvernamentale din România care se încadrează în cele 3 domenii de intervenție:</w:t>
      </w:r>
    </w:p>
    <w:p w14:paraId="6FF19088" w14:textId="77777777" w:rsidR="00213439" w:rsidRPr="00607355" w:rsidRDefault="00213439" w:rsidP="00C61121">
      <w:pPr>
        <w:numPr>
          <w:ilvl w:val="0"/>
          <w:numId w:val="10"/>
        </w:numPr>
        <w:jc w:val="both"/>
        <w:rPr>
          <w:color w:val="313131"/>
          <w:szCs w:val="18"/>
        </w:rPr>
      </w:pPr>
      <w:r w:rsidRPr="00607355">
        <w:rPr>
          <w:rStyle w:val="Strong"/>
          <w:color w:val="313131"/>
        </w:rPr>
        <w:t>Cultură</w:t>
      </w:r>
    </w:p>
    <w:p w14:paraId="2142AA91" w14:textId="77777777" w:rsidR="00213439" w:rsidRPr="00607355" w:rsidRDefault="00213439" w:rsidP="00C61121">
      <w:pPr>
        <w:numPr>
          <w:ilvl w:val="0"/>
          <w:numId w:val="10"/>
        </w:numPr>
        <w:jc w:val="both"/>
        <w:rPr>
          <w:color w:val="313131"/>
          <w:szCs w:val="18"/>
        </w:rPr>
      </w:pPr>
      <w:r w:rsidRPr="00607355">
        <w:rPr>
          <w:rStyle w:val="Strong"/>
          <w:color w:val="313131"/>
        </w:rPr>
        <w:t>Sport</w:t>
      </w:r>
    </w:p>
    <w:p w14:paraId="15964B94" w14:textId="77777777" w:rsidR="00213439" w:rsidRPr="00607355" w:rsidRDefault="00213439" w:rsidP="00C61121">
      <w:pPr>
        <w:numPr>
          <w:ilvl w:val="0"/>
          <w:numId w:val="10"/>
        </w:numPr>
        <w:jc w:val="both"/>
        <w:rPr>
          <w:color w:val="313131"/>
          <w:szCs w:val="18"/>
        </w:rPr>
      </w:pPr>
      <w:r w:rsidRPr="00607355">
        <w:rPr>
          <w:rStyle w:val="Strong"/>
          <w:color w:val="313131"/>
        </w:rPr>
        <w:t>Viață</w:t>
      </w:r>
      <w:r w:rsidRPr="00607355">
        <w:rPr>
          <w:color w:val="313131"/>
          <w:szCs w:val="18"/>
        </w:rPr>
        <w:t> </w:t>
      </w:r>
      <w:r w:rsidRPr="00607355">
        <w:rPr>
          <w:rStyle w:val="Strong"/>
          <w:color w:val="313131"/>
        </w:rPr>
        <w:t>sănătoasă</w:t>
      </w:r>
    </w:p>
    <w:p w14:paraId="41DE2A82" w14:textId="77777777" w:rsidR="00213439" w:rsidRPr="00607355" w:rsidRDefault="0021343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Bugetul total al acestui apel este de 3.068.270 lei la care se pot adăuga și eventualele sume rămase necontractate în primul apel al acestui an.</w:t>
      </w:r>
    </w:p>
    <w:p w14:paraId="03118A7B" w14:textId="77777777" w:rsidR="00213439" w:rsidRPr="00607355" w:rsidRDefault="0021343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Valoarea minimă a sprijinului financiar acordat pentru un proiect este de </w:t>
      </w:r>
      <w:r w:rsidRPr="00607355">
        <w:rPr>
          <w:rStyle w:val="Strong"/>
          <w:color w:val="313131"/>
        </w:rPr>
        <w:t>50.000 lei</w:t>
      </w:r>
      <w:r w:rsidRPr="00607355">
        <w:rPr>
          <w:rFonts w:ascii="Verdana" w:hAnsi="Verdana"/>
          <w:color w:val="313131"/>
          <w:sz w:val="18"/>
          <w:szCs w:val="18"/>
        </w:rPr>
        <w:t>, iar valoarea maximă nu poate depăși </w:t>
      </w:r>
      <w:r w:rsidRPr="00607355">
        <w:rPr>
          <w:rStyle w:val="Strong"/>
          <w:color w:val="313131"/>
        </w:rPr>
        <w:t>250.000 lei</w:t>
      </w:r>
      <w:r w:rsidRPr="00607355">
        <w:rPr>
          <w:rFonts w:ascii="Verdana" w:hAnsi="Verdana"/>
          <w:color w:val="313131"/>
          <w:sz w:val="18"/>
          <w:szCs w:val="18"/>
        </w:rPr>
        <w:t>.</w:t>
      </w:r>
    </w:p>
    <w:p w14:paraId="52FA4E93" w14:textId="77777777" w:rsidR="00213439" w:rsidRPr="00607355" w:rsidRDefault="0021343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Organizațiile solicitante vor putea înscrie propuneri de proiecte în platforma online în perioada </w:t>
      </w:r>
      <w:r w:rsidRPr="00607355">
        <w:rPr>
          <w:rStyle w:val="Strong"/>
          <w:color w:val="313131"/>
        </w:rPr>
        <w:t>8 iunie (ora 9:00) - 10 iunie (ora 16:00)</w:t>
      </w:r>
      <w:r w:rsidRPr="00607355">
        <w:rPr>
          <w:rFonts w:ascii="Verdana" w:hAnsi="Verdana"/>
          <w:color w:val="313131"/>
          <w:sz w:val="18"/>
          <w:szCs w:val="18"/>
        </w:rPr>
        <w:t>. În cadrul acestuia vor fi finanțate proiecte din toate cele 3 domenii ale programului (cultură, sport și viață sănătoasă) care implică beneficiari din grupuri vulnerabile.</w:t>
      </w:r>
    </w:p>
    <w:p w14:paraId="67A53897" w14:textId="77777777" w:rsidR="00213439" w:rsidRPr="00607355" w:rsidRDefault="0021343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Pentru mai multe informații puteți consulta rubrica noastră de </w:t>
      </w:r>
      <w:hyperlink r:id="rId42" w:tgtFrame="_blank" w:history="1">
        <w:r w:rsidRPr="00607355">
          <w:rPr>
            <w:rStyle w:val="Emphasis"/>
            <w:b/>
            <w:bCs/>
            <w:color w:val="0000FF"/>
            <w:u w:val="single"/>
          </w:rPr>
          <w:t>alte finanțări</w:t>
        </w:r>
      </w:hyperlink>
      <w:r w:rsidRPr="00607355">
        <w:rPr>
          <w:rFonts w:ascii="Verdana" w:hAnsi="Verdana"/>
          <w:color w:val="313131"/>
          <w:sz w:val="18"/>
          <w:szCs w:val="18"/>
        </w:rPr>
        <w:t>.</w:t>
      </w:r>
    </w:p>
    <w:p w14:paraId="59785FE5" w14:textId="77777777" w:rsidR="00213439" w:rsidRPr="00607355" w:rsidRDefault="00213439" w:rsidP="00D860C3">
      <w:pPr>
        <w:pStyle w:val="Stilsursa"/>
      </w:pPr>
      <w:r w:rsidRPr="00607355">
        <w:t>Sursa: Programul În Stare de Bine</w:t>
      </w:r>
    </w:p>
    <w:p w14:paraId="3AE73413" w14:textId="7A189BFF" w:rsidR="00213439" w:rsidRPr="00607355" w:rsidRDefault="00213439" w:rsidP="00D860C3">
      <w:pPr>
        <w:pStyle w:val="separatorarticole"/>
      </w:pPr>
      <w:r w:rsidRPr="00607355">
        <w:t>*</w:t>
      </w:r>
    </w:p>
    <w:p w14:paraId="42F47B80" w14:textId="77777777" w:rsidR="00D37159" w:rsidRPr="00607355" w:rsidRDefault="00D37159" w:rsidP="00D860C3">
      <w:pPr>
        <w:pStyle w:val="TitluArticolinINFOUE"/>
        <w:rPr>
          <w:lang w:eastAsia="ro-RO"/>
        </w:rPr>
      </w:pPr>
      <w:bookmarkStart w:id="160" w:name="_Toc104197288"/>
      <w:r w:rsidRPr="00607355">
        <w:t>Aplicațiile pe apelul dedicat inițiativelor locale din cadrul Noului Bauhaus European se pot depune până la 30 mai!</w:t>
      </w:r>
      <w:bookmarkEnd w:id="160"/>
    </w:p>
    <w:p w14:paraId="0A7CEFA1" w14:textId="77777777" w:rsidR="00D37159" w:rsidRPr="00607355" w:rsidRDefault="00D3715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Comisia Europeană, prin DG REGIO, a prelungit termenul apelului de proiecte „Sprijin pentru noile inițiative locale europene Bauhaus” până în data de </w:t>
      </w:r>
      <w:r w:rsidRPr="00607355">
        <w:rPr>
          <w:rStyle w:val="Strong"/>
          <w:color w:val="313131"/>
        </w:rPr>
        <w:t>30 mai 2022</w:t>
      </w:r>
      <w:r w:rsidRPr="00607355">
        <w:rPr>
          <w:rFonts w:ascii="Verdana" w:hAnsi="Verdana"/>
          <w:color w:val="313131"/>
          <w:sz w:val="18"/>
          <w:szCs w:val="18"/>
        </w:rPr>
        <w:t>, ora 14:00 CEST.</w:t>
      </w:r>
    </w:p>
    <w:p w14:paraId="7601A89C" w14:textId="77777777" w:rsidR="00D37159" w:rsidRPr="00607355" w:rsidRDefault="00D3715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Termenul limită inițial era 23 mai 2022.</w:t>
      </w:r>
    </w:p>
    <w:p w14:paraId="38AE608F" w14:textId="77777777" w:rsidR="00D37159" w:rsidRPr="00607355" w:rsidRDefault="00D37159" w:rsidP="00C61121">
      <w:pPr>
        <w:pStyle w:val="NormalWeb"/>
        <w:spacing w:before="120" w:beforeAutospacing="0" w:after="0" w:afterAutospacing="0"/>
        <w:jc w:val="both"/>
        <w:rPr>
          <w:rFonts w:ascii="Verdana" w:hAnsi="Verdana"/>
          <w:color w:val="313131"/>
          <w:sz w:val="18"/>
          <w:szCs w:val="18"/>
        </w:rPr>
      </w:pPr>
      <w:r w:rsidRPr="00607355">
        <w:rPr>
          <w:rStyle w:val="Strong"/>
          <w:color w:val="313131"/>
        </w:rPr>
        <w:t>Despre apel</w:t>
      </w:r>
    </w:p>
    <w:p w14:paraId="14BB1968" w14:textId="77777777" w:rsidR="00D37159" w:rsidRPr="00607355" w:rsidRDefault="00D3715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Apelul oferă asistență tehnică municipalităților mici și mijlocii, care nu au capacitatea sau expertiza necesară pentru a-și transforma ideile de proiecte în realitate.</w:t>
      </w:r>
    </w:p>
    <w:p w14:paraId="68CA5AE2" w14:textId="77777777" w:rsidR="00D37159" w:rsidRPr="00607355" w:rsidRDefault="00D37159" w:rsidP="00C61121">
      <w:pPr>
        <w:pStyle w:val="NormalWeb"/>
        <w:spacing w:before="120" w:beforeAutospacing="0" w:after="0" w:afterAutospacing="0"/>
        <w:jc w:val="both"/>
        <w:rPr>
          <w:rFonts w:ascii="Verdana" w:hAnsi="Verdana"/>
          <w:color w:val="313131"/>
          <w:sz w:val="18"/>
          <w:szCs w:val="18"/>
        </w:rPr>
      </w:pPr>
      <w:r w:rsidRPr="00607355">
        <w:rPr>
          <w:rStyle w:val="Strong"/>
          <w:color w:val="313131"/>
        </w:rPr>
        <w:t>20 de concepte de proiect la nivel local</w:t>
      </w:r>
      <w:r w:rsidRPr="00607355">
        <w:rPr>
          <w:rFonts w:ascii="Verdana" w:hAnsi="Verdana"/>
          <w:color w:val="313131"/>
          <w:sz w:val="18"/>
          <w:szCs w:val="18"/>
        </w:rPr>
        <w:t> selectate în cadrul apelului vor beneficia de </w:t>
      </w:r>
      <w:r w:rsidRPr="00607355">
        <w:rPr>
          <w:rStyle w:val="Strong"/>
          <w:color w:val="313131"/>
        </w:rPr>
        <w:t>sprijin personalizat </w:t>
      </w:r>
      <w:r w:rsidRPr="00607355">
        <w:rPr>
          <w:rFonts w:ascii="Verdana" w:hAnsi="Verdana"/>
          <w:color w:val="313131"/>
          <w:sz w:val="18"/>
          <w:szCs w:val="18"/>
        </w:rPr>
        <w:t>pe teren oferit de un grup de experți interdisciplinari pentru a modela conceptele pe linia Noului Bauhaus European și a obiectivelor Pactului Verde.</w:t>
      </w:r>
    </w:p>
    <w:p w14:paraId="360D8178" w14:textId="77777777" w:rsidR="00D37159" w:rsidRPr="00607355" w:rsidRDefault="00D3715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Toate autoritățile publice subnaționale care administrează </w:t>
      </w:r>
      <w:r w:rsidRPr="00607355">
        <w:rPr>
          <w:rStyle w:val="Strong"/>
          <w:color w:val="313131"/>
        </w:rPr>
        <w:t>mai puțin de 100.000 de locuitori</w:t>
      </w:r>
      <w:r w:rsidRPr="00607355">
        <w:rPr>
          <w:rFonts w:ascii="Verdana" w:hAnsi="Verdana"/>
          <w:color w:val="313131"/>
          <w:sz w:val="18"/>
          <w:szCs w:val="18"/>
        </w:rPr>
        <w:t> și au toate competențele legale necesare pentru implementarea proiectului preconizat sunt eligibile pentru acest apel și sunt considerate drept „autoritate publică competentă”.</w:t>
      </w:r>
    </w:p>
    <w:p w14:paraId="3F2CAB9D" w14:textId="77777777" w:rsidR="00D37159" w:rsidRPr="00607355" w:rsidRDefault="00D3715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lastRenderedPageBreak/>
        <w:t>Ideile de proiecte trebuie să contribuie la cel puțin unul dintre cele patru domenii de acțiune pe care le acoperă acest apel, respectiv:</w:t>
      </w:r>
    </w:p>
    <w:p w14:paraId="2FC089C4" w14:textId="77777777" w:rsidR="00D37159" w:rsidRPr="00607355" w:rsidRDefault="00D37159" w:rsidP="00C61121">
      <w:pPr>
        <w:numPr>
          <w:ilvl w:val="0"/>
          <w:numId w:val="11"/>
        </w:numPr>
        <w:jc w:val="both"/>
        <w:rPr>
          <w:color w:val="313131"/>
          <w:szCs w:val="18"/>
        </w:rPr>
      </w:pPr>
      <w:r w:rsidRPr="00607355">
        <w:rPr>
          <w:color w:val="313131"/>
          <w:szCs w:val="18"/>
        </w:rPr>
        <w:t>Renovarea clădirilor și spațiilor publice existente într-un spirit de circularitate și neutralitate carbon</w:t>
      </w:r>
    </w:p>
    <w:p w14:paraId="0871F4FB" w14:textId="77777777" w:rsidR="00D37159" w:rsidRPr="00607355" w:rsidRDefault="00D37159" w:rsidP="00C61121">
      <w:pPr>
        <w:numPr>
          <w:ilvl w:val="0"/>
          <w:numId w:val="11"/>
        </w:numPr>
        <w:jc w:val="both"/>
        <w:rPr>
          <w:color w:val="313131"/>
          <w:szCs w:val="18"/>
        </w:rPr>
      </w:pPr>
      <w:r w:rsidRPr="00607355">
        <w:rPr>
          <w:color w:val="313131"/>
          <w:szCs w:val="18"/>
        </w:rPr>
        <w:t>Conservarea și transformarea patrimoniului cultural</w:t>
      </w:r>
    </w:p>
    <w:p w14:paraId="16CFED52" w14:textId="77777777" w:rsidR="00D37159" w:rsidRPr="00607355" w:rsidRDefault="00D37159" w:rsidP="00C61121">
      <w:pPr>
        <w:numPr>
          <w:ilvl w:val="0"/>
          <w:numId w:val="11"/>
        </w:numPr>
        <w:jc w:val="both"/>
        <w:rPr>
          <w:color w:val="313131"/>
          <w:szCs w:val="18"/>
        </w:rPr>
      </w:pPr>
      <w:r w:rsidRPr="00607355">
        <w:rPr>
          <w:color w:val="313131"/>
          <w:szCs w:val="18"/>
        </w:rPr>
        <w:t>Adaptarea și transformarea clădirilor pentru soluții de locuințe la prețuri accesibile</w:t>
      </w:r>
    </w:p>
    <w:p w14:paraId="41D015BE" w14:textId="77777777" w:rsidR="00D37159" w:rsidRPr="00607355" w:rsidRDefault="00D37159" w:rsidP="00C61121">
      <w:pPr>
        <w:numPr>
          <w:ilvl w:val="0"/>
          <w:numId w:val="11"/>
        </w:numPr>
        <w:jc w:val="both"/>
        <w:rPr>
          <w:color w:val="313131"/>
          <w:szCs w:val="18"/>
        </w:rPr>
      </w:pPr>
      <w:r w:rsidRPr="00607355">
        <w:rPr>
          <w:color w:val="313131"/>
          <w:szCs w:val="18"/>
        </w:rPr>
        <w:t>Regenerarea spațiilor urbane și rurale</w:t>
      </w:r>
    </w:p>
    <w:p w14:paraId="66DEE147" w14:textId="77777777" w:rsidR="00D37159" w:rsidRPr="00607355" w:rsidRDefault="00D37159" w:rsidP="00C61121">
      <w:pPr>
        <w:pStyle w:val="NormalWeb"/>
        <w:spacing w:before="120" w:beforeAutospacing="0" w:after="0" w:afterAutospacing="0"/>
        <w:jc w:val="both"/>
        <w:rPr>
          <w:rFonts w:ascii="Verdana" w:hAnsi="Verdana"/>
          <w:color w:val="313131"/>
          <w:sz w:val="18"/>
          <w:szCs w:val="18"/>
        </w:rPr>
      </w:pPr>
      <w:r w:rsidRPr="00607355">
        <w:rPr>
          <w:rFonts w:ascii="Verdana" w:hAnsi="Verdana"/>
          <w:color w:val="313131"/>
          <w:sz w:val="18"/>
          <w:szCs w:val="18"/>
        </w:rPr>
        <w:t>Pentru mai multe informații puteți consulta rubrica noastră de </w:t>
      </w:r>
      <w:hyperlink r:id="rId43" w:tgtFrame="_blank" w:history="1">
        <w:r w:rsidRPr="00607355">
          <w:rPr>
            <w:rStyle w:val="Emphasis"/>
            <w:b/>
            <w:bCs/>
            <w:color w:val="0000FF"/>
            <w:u w:val="single"/>
          </w:rPr>
          <w:t>alte finanțări</w:t>
        </w:r>
      </w:hyperlink>
      <w:r w:rsidRPr="00607355">
        <w:rPr>
          <w:rFonts w:ascii="Verdana" w:hAnsi="Verdana"/>
          <w:color w:val="313131"/>
          <w:sz w:val="18"/>
          <w:szCs w:val="18"/>
        </w:rPr>
        <w:t>.</w:t>
      </w:r>
    </w:p>
    <w:p w14:paraId="3045F4A2" w14:textId="77777777" w:rsidR="00D37159" w:rsidRPr="00607355" w:rsidRDefault="00D37159" w:rsidP="00D860C3">
      <w:pPr>
        <w:pStyle w:val="Stilsursa"/>
      </w:pPr>
      <w:r w:rsidRPr="00607355">
        <w:t>Sursa: ADR Centru</w:t>
      </w:r>
    </w:p>
    <w:p w14:paraId="7A03AD34" w14:textId="06C6AD9E" w:rsidR="00213439" w:rsidRPr="00607355" w:rsidRDefault="00D37159" w:rsidP="00D860C3">
      <w:pPr>
        <w:pStyle w:val="separatorarticole"/>
      </w:pPr>
      <w:r w:rsidRPr="00607355">
        <w:t>*</w:t>
      </w:r>
    </w:p>
    <w:p w14:paraId="7650F105" w14:textId="77777777" w:rsidR="00213439" w:rsidRPr="00607355" w:rsidRDefault="00213439" w:rsidP="00D860C3">
      <w:pPr>
        <w:pStyle w:val="TitluArticolinINFOUE"/>
        <w:rPr>
          <w:lang w:eastAsia="ro-RO"/>
        </w:rPr>
      </w:pPr>
      <w:bookmarkStart w:id="161" w:name="_Toc104197289"/>
      <w:r w:rsidRPr="00607355">
        <w:t>A fost demarată autorizarea la plată a schemelor de sprijin cuplat în sectorul vegetal Campania 2021</w:t>
      </w:r>
      <w:bookmarkEnd w:id="161"/>
    </w:p>
    <w:p w14:paraId="6FE40C1D"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Agenția de Plăți și Intervenție pentru Agricultură (APIA) a transmis ieri, 16 mai 2022, faptul că a demarat autorizarea la plată a schemelor de sprijin cuplat în sectorul vegetal Campania 2021.</w:t>
      </w:r>
    </w:p>
    <w:p w14:paraId="1AB19FFC"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Potrivit art. 1, alin (5), din Hotărârea de Guvern nr. 621 din 12.05.2022 pentru aprobarea plafoanelor financiare alocate măsurilor de sprijin cuplat în sectorul vegetal pentru anul de cerere 2021 – </w:t>
      </w:r>
      <w:r w:rsidRPr="00607355">
        <w:rPr>
          <w:rStyle w:val="Emphasis"/>
          <w:color w:val="313131"/>
        </w:rPr>
        <w:t>“Cuantumul pentru fiecare măsură de sprijin cuplat în sectorul vegetal se calculează de către APIA, prin raportarea plafoanelor financiare prevăzute în legislație la suprafețele eligibile pentru anul 2021</w:t>
      </w:r>
      <w:r w:rsidRPr="00607355">
        <w:rPr>
          <w:rFonts w:ascii="Verdana" w:hAnsi="Verdana"/>
          <w:color w:val="313131"/>
          <w:sz w:val="18"/>
          <w:szCs w:val="18"/>
        </w:rPr>
        <w:t>”, au rezultat următoarele </w:t>
      </w:r>
      <w:r w:rsidRPr="00607355">
        <w:rPr>
          <w:rStyle w:val="Strong"/>
          <w:color w:val="313131"/>
        </w:rPr>
        <w:t>cuantumuri</w:t>
      </w:r>
      <w:r w:rsidRPr="00607355">
        <w:rPr>
          <w:rFonts w:ascii="Verdana" w:hAnsi="Verdana"/>
          <w:color w:val="313131"/>
          <w:sz w:val="18"/>
          <w:szCs w:val="18"/>
        </w:rPr>
        <w:t>:</w:t>
      </w:r>
    </w:p>
    <w:tbl>
      <w:tblPr>
        <w:tblW w:w="9604"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5095"/>
        <w:gridCol w:w="2268"/>
        <w:gridCol w:w="2241"/>
      </w:tblGrid>
      <w:tr w:rsidR="00213439" w:rsidRPr="00607355" w14:paraId="20AC5DA2" w14:textId="77777777" w:rsidTr="00496A20">
        <w:trPr>
          <w:trHeight w:val="353"/>
          <w:tblHeader/>
        </w:trPr>
        <w:tc>
          <w:tcPr>
            <w:tcW w:w="509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B534C4F" w14:textId="77777777" w:rsidR="00213439" w:rsidRPr="00607355" w:rsidRDefault="00213439" w:rsidP="00496A20">
            <w:pPr>
              <w:pStyle w:val="NormalWeb"/>
              <w:spacing w:before="120" w:beforeAutospacing="0" w:after="0" w:afterAutospacing="0"/>
              <w:jc w:val="center"/>
              <w:rPr>
                <w:rFonts w:ascii="Verdana" w:hAnsi="Verdana"/>
                <w:sz w:val="18"/>
                <w:szCs w:val="18"/>
              </w:rPr>
            </w:pPr>
            <w:r w:rsidRPr="00607355">
              <w:rPr>
                <w:rStyle w:val="Strong"/>
              </w:rPr>
              <w:t>Schema de plată</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5A32A4C" w14:textId="77777777" w:rsidR="00213439" w:rsidRPr="00607355" w:rsidRDefault="00213439" w:rsidP="00496A20">
            <w:pPr>
              <w:pStyle w:val="NormalWeb"/>
              <w:spacing w:before="120" w:beforeAutospacing="0" w:after="0" w:afterAutospacing="0"/>
              <w:jc w:val="center"/>
              <w:rPr>
                <w:rFonts w:ascii="Verdana" w:hAnsi="Verdana"/>
                <w:sz w:val="18"/>
                <w:szCs w:val="18"/>
              </w:rPr>
            </w:pPr>
            <w:r w:rsidRPr="00607355">
              <w:rPr>
                <w:rStyle w:val="Strong"/>
              </w:rPr>
              <w:t>Plafoane financiare</w:t>
            </w:r>
          </w:p>
          <w:p w14:paraId="4F9A76E8" w14:textId="77777777" w:rsidR="00213439" w:rsidRPr="00607355" w:rsidRDefault="00213439" w:rsidP="00496A20">
            <w:pPr>
              <w:pStyle w:val="NormalWeb"/>
              <w:spacing w:before="120" w:beforeAutospacing="0" w:after="0" w:afterAutospacing="0"/>
              <w:jc w:val="center"/>
              <w:rPr>
                <w:rFonts w:ascii="Verdana" w:hAnsi="Verdana"/>
                <w:sz w:val="18"/>
                <w:szCs w:val="18"/>
              </w:rPr>
            </w:pPr>
            <w:r w:rsidRPr="00607355">
              <w:rPr>
                <w:rStyle w:val="Strong"/>
              </w:rPr>
              <w:t>(euro)</w:t>
            </w:r>
          </w:p>
        </w:tc>
        <w:tc>
          <w:tcPr>
            <w:tcW w:w="22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3D07F31" w14:textId="77777777" w:rsidR="00213439" w:rsidRPr="00607355" w:rsidRDefault="00213439" w:rsidP="00496A20">
            <w:pPr>
              <w:pStyle w:val="NormalWeb"/>
              <w:spacing w:before="120" w:beforeAutospacing="0" w:after="0" w:afterAutospacing="0"/>
              <w:jc w:val="center"/>
              <w:rPr>
                <w:rFonts w:ascii="Verdana" w:hAnsi="Verdana"/>
                <w:sz w:val="18"/>
                <w:szCs w:val="18"/>
              </w:rPr>
            </w:pPr>
            <w:r w:rsidRPr="00607355">
              <w:rPr>
                <w:rStyle w:val="Strong"/>
              </w:rPr>
              <w:t>Cuantum (euro/ha)</w:t>
            </w:r>
          </w:p>
        </w:tc>
      </w:tr>
      <w:tr w:rsidR="00213439" w:rsidRPr="00607355" w14:paraId="0844A913" w14:textId="77777777" w:rsidTr="00D860C3">
        <w:trPr>
          <w:trHeight w:val="435"/>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90D9CF"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w:t>
            </w:r>
            <w:r w:rsidRPr="00607355">
              <w:rPr>
                <w:rStyle w:val="Strong"/>
              </w:rPr>
              <w:t> soia</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009864"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31.232.000</w:t>
            </w:r>
          </w:p>
        </w:tc>
        <w:tc>
          <w:tcPr>
            <w:tcW w:w="22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E30508"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237,1600</w:t>
            </w:r>
          </w:p>
        </w:tc>
      </w:tr>
      <w:tr w:rsidR="00213439" w:rsidRPr="00607355" w14:paraId="6175C43A" w14:textId="77777777" w:rsidTr="00D860C3">
        <w:trPr>
          <w:trHeight w:val="435"/>
        </w:trPr>
        <w:tc>
          <w:tcPr>
            <w:tcW w:w="509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D16F4F9"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w:t>
            </w:r>
            <w:r w:rsidRPr="00607355">
              <w:rPr>
                <w:rStyle w:val="Strong"/>
              </w:rPr>
              <w:t> lucernă</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C0E1B5"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17.215.000</w:t>
            </w:r>
          </w:p>
        </w:tc>
        <w:tc>
          <w:tcPr>
            <w:tcW w:w="22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69F89C8"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101,1485</w:t>
            </w:r>
          </w:p>
        </w:tc>
      </w:tr>
      <w:tr w:rsidR="00213439" w:rsidRPr="00607355" w14:paraId="0DC5156B" w14:textId="77777777" w:rsidTr="00D860C3">
        <w:trPr>
          <w:trHeight w:val="990"/>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F5C799"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leguminoase boabe pentru industrializare/procesare: </w:t>
            </w:r>
            <w:r w:rsidRPr="00607355">
              <w:rPr>
                <w:rStyle w:val="Strong"/>
              </w:rPr>
              <w:t>mazăre boabe și fasole boabe</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F73350"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450.000</w:t>
            </w:r>
          </w:p>
        </w:tc>
        <w:tc>
          <w:tcPr>
            <w:tcW w:w="22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787249"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144,7718</w:t>
            </w:r>
          </w:p>
        </w:tc>
      </w:tr>
      <w:tr w:rsidR="00213439" w:rsidRPr="00607355" w14:paraId="5E699E69" w14:textId="77777777" w:rsidTr="00D860C3">
        <w:trPr>
          <w:trHeight w:val="705"/>
        </w:trPr>
        <w:tc>
          <w:tcPr>
            <w:tcW w:w="509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CD35481"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w:t>
            </w:r>
            <w:r w:rsidRPr="00607355">
              <w:rPr>
                <w:rStyle w:val="Strong"/>
              </w:rPr>
              <w:t>cânepă pentru ulei și/sau fibră</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25DC044"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90.000</w:t>
            </w:r>
          </w:p>
        </w:tc>
        <w:tc>
          <w:tcPr>
            <w:tcW w:w="22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1A5BDA7"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2250</w:t>
            </w:r>
          </w:p>
        </w:tc>
      </w:tr>
      <w:tr w:rsidR="00213439" w:rsidRPr="00607355" w14:paraId="055B97C9" w14:textId="77777777" w:rsidTr="00D860C3">
        <w:trPr>
          <w:trHeight w:val="435"/>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EF0DD2"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w:t>
            </w:r>
            <w:r w:rsidRPr="00607355">
              <w:rPr>
                <w:rStyle w:val="Strong"/>
              </w:rPr>
              <w:t>orez</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F1E571"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4.087.000</w:t>
            </w:r>
          </w:p>
        </w:tc>
        <w:tc>
          <w:tcPr>
            <w:tcW w:w="22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FBE3B6"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1398,5990</w:t>
            </w:r>
          </w:p>
        </w:tc>
      </w:tr>
      <w:tr w:rsidR="00213439" w:rsidRPr="00607355" w14:paraId="73E060C6" w14:textId="77777777" w:rsidTr="00D860C3">
        <w:trPr>
          <w:trHeight w:val="435"/>
        </w:trPr>
        <w:tc>
          <w:tcPr>
            <w:tcW w:w="509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5DAA541"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w:t>
            </w:r>
            <w:r w:rsidRPr="00607355">
              <w:rPr>
                <w:rStyle w:val="Strong"/>
              </w:rPr>
              <w:t>sămânță de cartof</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0028109"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844.360</w:t>
            </w:r>
          </w:p>
        </w:tc>
        <w:tc>
          <w:tcPr>
            <w:tcW w:w="22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B1D089F"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1434,7907</w:t>
            </w:r>
          </w:p>
        </w:tc>
      </w:tr>
      <w:tr w:rsidR="00213439" w:rsidRPr="00607355" w14:paraId="3474CD2D" w14:textId="77777777" w:rsidTr="00D860C3">
        <w:trPr>
          <w:trHeight w:val="435"/>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ED81CC"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w:t>
            </w:r>
            <w:r w:rsidRPr="00607355">
              <w:rPr>
                <w:rStyle w:val="Strong"/>
              </w:rPr>
              <w:t>hamei</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9917F3"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132.980</w:t>
            </w:r>
          </w:p>
        </w:tc>
        <w:tc>
          <w:tcPr>
            <w:tcW w:w="22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387887"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531,1975</w:t>
            </w:r>
          </w:p>
        </w:tc>
      </w:tr>
      <w:tr w:rsidR="00213439" w:rsidRPr="00607355" w14:paraId="51CD5964" w14:textId="77777777" w:rsidTr="00D860C3">
        <w:trPr>
          <w:trHeight w:val="435"/>
        </w:trPr>
        <w:tc>
          <w:tcPr>
            <w:tcW w:w="509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FF0142E"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w:t>
            </w:r>
            <w:r w:rsidRPr="00607355">
              <w:rPr>
                <w:rStyle w:val="Strong"/>
              </w:rPr>
              <w:t>sfeclă de zahăr</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8432AF0"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16.099.500</w:t>
            </w:r>
          </w:p>
        </w:tc>
        <w:tc>
          <w:tcPr>
            <w:tcW w:w="22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3D30757"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829,8313</w:t>
            </w:r>
          </w:p>
        </w:tc>
      </w:tr>
      <w:tr w:rsidR="00213439" w:rsidRPr="00607355" w14:paraId="012EF116" w14:textId="77777777" w:rsidTr="00D860C3">
        <w:trPr>
          <w:trHeight w:val="720"/>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EB216D"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w:t>
            </w:r>
            <w:r w:rsidRPr="00607355">
              <w:rPr>
                <w:rStyle w:val="Strong"/>
              </w:rPr>
              <w:t>tomate pentru industrializare cultivate în câmp</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6E331B"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1.250.000</w:t>
            </w:r>
          </w:p>
        </w:tc>
        <w:tc>
          <w:tcPr>
            <w:tcW w:w="22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AB6ADA"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1700,6802</w:t>
            </w:r>
          </w:p>
        </w:tc>
      </w:tr>
      <w:tr w:rsidR="00213439" w:rsidRPr="00607355" w14:paraId="2CD05214" w14:textId="77777777" w:rsidTr="00D860C3">
        <w:trPr>
          <w:trHeight w:val="705"/>
        </w:trPr>
        <w:tc>
          <w:tcPr>
            <w:tcW w:w="509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0E37BD7"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lastRenderedPageBreak/>
              <w:t>Sprijin cuplat în sectorul vegetal – </w:t>
            </w:r>
            <w:r w:rsidRPr="00607355">
              <w:rPr>
                <w:rStyle w:val="Strong"/>
              </w:rPr>
              <w:t>castraveți pentru industrializare cultivați în câmp</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21285FA"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13.560</w:t>
            </w:r>
          </w:p>
        </w:tc>
        <w:tc>
          <w:tcPr>
            <w:tcW w:w="22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BAAA6DE"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707,3552</w:t>
            </w:r>
          </w:p>
        </w:tc>
      </w:tr>
      <w:tr w:rsidR="00213439" w:rsidRPr="00607355" w14:paraId="77CC0E42" w14:textId="77777777" w:rsidTr="00D860C3">
        <w:trPr>
          <w:trHeight w:val="1545"/>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E986AB"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legume cultivate în sere și solarii: </w:t>
            </w:r>
            <w:r w:rsidRPr="00607355">
              <w:rPr>
                <w:rStyle w:val="Strong"/>
              </w:rPr>
              <w:t>tomate pentru consum în stare proaspătă, castraveți pentru consum în stare proaspătă și/sau pentru industrializare, ardei, varză și vinete pentru consum în stare proaspătă</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E0358F"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12.370.460</w:t>
            </w:r>
          </w:p>
        </w:tc>
        <w:tc>
          <w:tcPr>
            <w:tcW w:w="22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73929C"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5006,4591</w:t>
            </w:r>
          </w:p>
        </w:tc>
      </w:tr>
      <w:tr w:rsidR="00213439" w:rsidRPr="00607355" w14:paraId="5534AF47" w14:textId="77777777" w:rsidTr="00D860C3">
        <w:trPr>
          <w:trHeight w:val="720"/>
        </w:trPr>
        <w:tc>
          <w:tcPr>
            <w:tcW w:w="509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A4C04E4"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fructe destinate industrializării: </w:t>
            </w:r>
            <w:r w:rsidRPr="00607355">
              <w:rPr>
                <w:rStyle w:val="Strong"/>
              </w:rPr>
              <w:t>prune, mere, cireșe, vișine, caise și zarzăre</w:t>
            </w:r>
          </w:p>
        </w:tc>
        <w:tc>
          <w:tcPr>
            <w:tcW w:w="226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164960B"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517.500</w:t>
            </w:r>
          </w:p>
        </w:tc>
        <w:tc>
          <w:tcPr>
            <w:tcW w:w="22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ADCD71A"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209,0165</w:t>
            </w:r>
          </w:p>
        </w:tc>
      </w:tr>
      <w:tr w:rsidR="00213439" w:rsidRPr="00607355" w14:paraId="6069DFAB" w14:textId="77777777" w:rsidTr="00D860C3">
        <w:trPr>
          <w:trHeight w:val="705"/>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3509ED"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Fonts w:ascii="Verdana" w:hAnsi="Verdana"/>
                <w:sz w:val="18"/>
                <w:szCs w:val="18"/>
              </w:rPr>
              <w:t>Sprijin cuplat în sectorul vegetal – </w:t>
            </w:r>
            <w:r w:rsidRPr="00607355">
              <w:rPr>
                <w:rStyle w:val="Strong"/>
              </w:rPr>
              <w:t>cartof timpuriu pentru industrializare</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CAA40F"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2.794.830</w:t>
            </w:r>
          </w:p>
        </w:tc>
        <w:tc>
          <w:tcPr>
            <w:tcW w:w="224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04C0EB" w14:textId="77777777" w:rsidR="00213439" w:rsidRPr="00607355" w:rsidRDefault="00213439" w:rsidP="00496A20">
            <w:pPr>
              <w:pStyle w:val="NormalWeb"/>
              <w:spacing w:before="120" w:beforeAutospacing="0" w:after="0" w:afterAutospacing="0"/>
              <w:rPr>
                <w:rFonts w:ascii="Verdana" w:hAnsi="Verdana"/>
                <w:sz w:val="18"/>
                <w:szCs w:val="18"/>
              </w:rPr>
            </w:pPr>
            <w:r w:rsidRPr="00607355">
              <w:rPr>
                <w:rStyle w:val="Strong"/>
              </w:rPr>
              <w:t>787,5422</w:t>
            </w:r>
          </w:p>
        </w:tc>
      </w:tr>
    </w:tbl>
    <w:p w14:paraId="58B69D54"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Plățile pentru schemele de sprijin cuplat în sectorul vegetal se fac în lei, la cursul de schimb de 4,9475 lei pentru un euro, stabilit de Banca Centrală Europeană la data de 30 septembrie 2021 și publicat în Jurnalul Oficial al Uniunii Europene, seria C, nr. 398 din 01 octombrie 2021.</w:t>
      </w:r>
    </w:p>
    <w:p w14:paraId="70BE832B" w14:textId="77777777" w:rsidR="00213439" w:rsidRPr="00607355" w:rsidRDefault="00213439" w:rsidP="00D860C3">
      <w:pPr>
        <w:pStyle w:val="Stilsursa"/>
      </w:pPr>
      <w:r w:rsidRPr="00607355">
        <w:t>Sursa: APIA</w:t>
      </w:r>
    </w:p>
    <w:p w14:paraId="5BD5B045" w14:textId="57BAF8CA" w:rsidR="00213439" w:rsidRPr="00607355" w:rsidRDefault="00213439" w:rsidP="00D860C3">
      <w:pPr>
        <w:pStyle w:val="separatorarticole"/>
      </w:pPr>
      <w:r w:rsidRPr="00607355">
        <w:t>*</w:t>
      </w:r>
    </w:p>
    <w:p w14:paraId="5F07BA48" w14:textId="77777777" w:rsidR="00213439" w:rsidRPr="00607355" w:rsidRDefault="00213439" w:rsidP="00D860C3">
      <w:pPr>
        <w:pStyle w:val="TitluArticolinINFOUE"/>
        <w:rPr>
          <w:lang w:eastAsia="ro-RO"/>
        </w:rPr>
      </w:pPr>
      <w:bookmarkStart w:id="162" w:name="_Toc104197290"/>
      <w:r w:rsidRPr="00607355">
        <w:t>Persoanele fizice și juridice se pot înscrie în cadrul programelor Rabla Clasic și Rabla Plus</w:t>
      </w:r>
      <w:bookmarkEnd w:id="162"/>
    </w:p>
    <w:p w14:paraId="0C360B1F"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Începând de vineri, 13 mai 2022, ora 10:00 au fost lansate sesiunile pentru înscrierile persoanelor fizice și juridice în cadrul Programului de stimulare a înnoirii Parcului auto național (</w:t>
      </w:r>
      <w:r w:rsidRPr="00607355">
        <w:rPr>
          <w:rStyle w:val="Strong"/>
          <w:color w:val="313131"/>
        </w:rPr>
        <w:t>Rabla</w:t>
      </w:r>
      <w:r w:rsidRPr="00607355">
        <w:rPr>
          <w:rFonts w:ascii="Verdana" w:hAnsi="Verdana"/>
          <w:color w:val="313131"/>
          <w:sz w:val="18"/>
          <w:szCs w:val="18"/>
        </w:rPr>
        <w:t> </w:t>
      </w:r>
      <w:r w:rsidRPr="00607355">
        <w:rPr>
          <w:rStyle w:val="Strong"/>
          <w:color w:val="313131"/>
        </w:rPr>
        <w:t>Clasic</w:t>
      </w:r>
      <w:r w:rsidRPr="00607355">
        <w:rPr>
          <w:rFonts w:ascii="Verdana" w:hAnsi="Verdana"/>
          <w:color w:val="313131"/>
          <w:sz w:val="18"/>
          <w:szCs w:val="18"/>
        </w:rPr>
        <w:t>) și a Programului privind reducerea emisiilor de gaze cu efect de seră în transporturi, prin promovarea vehiculelor de transport rutier nepoluante din punct de vedere energetic (</w:t>
      </w:r>
      <w:r w:rsidRPr="00607355">
        <w:rPr>
          <w:rStyle w:val="Strong"/>
          <w:color w:val="313131"/>
        </w:rPr>
        <w:t>Rabla</w:t>
      </w:r>
      <w:r w:rsidRPr="00607355">
        <w:rPr>
          <w:rFonts w:ascii="Verdana" w:hAnsi="Verdana"/>
          <w:color w:val="313131"/>
          <w:sz w:val="18"/>
          <w:szCs w:val="18"/>
        </w:rPr>
        <w:t> </w:t>
      </w:r>
      <w:r w:rsidRPr="00607355">
        <w:rPr>
          <w:rStyle w:val="Strong"/>
          <w:color w:val="313131"/>
        </w:rPr>
        <w:t>Plus</w:t>
      </w:r>
      <w:r w:rsidRPr="00607355">
        <w:rPr>
          <w:rFonts w:ascii="Verdana" w:hAnsi="Verdana"/>
          <w:color w:val="313131"/>
          <w:sz w:val="18"/>
          <w:szCs w:val="18"/>
        </w:rPr>
        <w:t>).</w:t>
      </w:r>
    </w:p>
    <w:p w14:paraId="10556A9F"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w:t>
      </w:r>
      <w:r w:rsidRPr="00607355">
        <w:rPr>
          <w:rStyle w:val="Emphasis"/>
          <w:b/>
          <w:bCs/>
          <w:color w:val="313131"/>
        </w:rPr>
        <w:t>Bugetul pentru Rabla Plus – persoane juridice a fost deja rezervat</w:t>
      </w:r>
      <w:r w:rsidRPr="00607355">
        <w:rPr>
          <w:rStyle w:val="Emphasis"/>
          <w:color w:val="313131"/>
        </w:rPr>
        <w:t>, fiind în continuare sume disponibile pentru înscrierea persoanelor fizice, unităților administrativ-teritoriale și instituțiilor publice. De asemenea, încă sunt deschise înscrierile pentru Rabla Clasic, la toate cele trei categorii de beneficiari: persoane fizice, persoane juridice și UATuri/instituții publice. Faptul că sumele pentru Rabla Plus – persoane juridice au fost deja solicitate ne confirmă că există un interes impresionant pentru autovehiculele electrice, având în vedere și ecotichetul oferit prin acest program care are o valoare de peste 10.000 de euro</w:t>
      </w:r>
      <w:r w:rsidRPr="00607355">
        <w:rPr>
          <w:rFonts w:ascii="Verdana" w:hAnsi="Verdana"/>
          <w:color w:val="313131"/>
          <w:sz w:val="18"/>
          <w:szCs w:val="18"/>
        </w:rPr>
        <w:t>” a declarat Laurențiu-Adrian Neculaescu, președintele Administrației Fondului pentru Mediu.</w:t>
      </w:r>
    </w:p>
    <w:p w14:paraId="37E81EBE"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Bugetele puse la dispoziție în această sesiune sunt:</w:t>
      </w:r>
    </w:p>
    <w:p w14:paraId="5EF035B7"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Style w:val="Strong"/>
          <w:color w:val="313131"/>
        </w:rPr>
        <w:t>Pentru Programul Rabla Clasic:</w:t>
      </w:r>
    </w:p>
    <w:p w14:paraId="40498D64" w14:textId="77777777" w:rsidR="00213439" w:rsidRPr="00607355" w:rsidRDefault="00213439" w:rsidP="00E2217B">
      <w:pPr>
        <w:numPr>
          <w:ilvl w:val="0"/>
          <w:numId w:val="4"/>
        </w:numPr>
        <w:rPr>
          <w:color w:val="313131"/>
          <w:szCs w:val="18"/>
        </w:rPr>
      </w:pPr>
      <w:r w:rsidRPr="00607355">
        <w:rPr>
          <w:color w:val="313131"/>
          <w:szCs w:val="18"/>
        </w:rPr>
        <w:t>persoane fizice – 335.500.000 lei;</w:t>
      </w:r>
    </w:p>
    <w:p w14:paraId="60C1FBFC" w14:textId="77777777" w:rsidR="00213439" w:rsidRPr="00607355" w:rsidRDefault="00213439" w:rsidP="00E2217B">
      <w:pPr>
        <w:numPr>
          <w:ilvl w:val="0"/>
          <w:numId w:val="4"/>
        </w:numPr>
        <w:rPr>
          <w:color w:val="313131"/>
          <w:szCs w:val="18"/>
        </w:rPr>
      </w:pPr>
      <w:r w:rsidRPr="00607355">
        <w:rPr>
          <w:color w:val="313131"/>
          <w:szCs w:val="18"/>
        </w:rPr>
        <w:t>persoane juridice – 123.000.000 lei;</w:t>
      </w:r>
    </w:p>
    <w:p w14:paraId="0CECD767" w14:textId="77777777" w:rsidR="00213439" w:rsidRPr="00607355" w:rsidRDefault="00213439" w:rsidP="00E2217B">
      <w:pPr>
        <w:numPr>
          <w:ilvl w:val="0"/>
          <w:numId w:val="4"/>
        </w:numPr>
        <w:rPr>
          <w:color w:val="313131"/>
          <w:szCs w:val="18"/>
        </w:rPr>
      </w:pPr>
      <w:r w:rsidRPr="00607355">
        <w:rPr>
          <w:color w:val="313131"/>
          <w:szCs w:val="18"/>
        </w:rPr>
        <w:t>U.A.T.-uri și instituții publice – 50.000.000 lei;</w:t>
      </w:r>
    </w:p>
    <w:p w14:paraId="7510509F"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Style w:val="Strong"/>
          <w:color w:val="313131"/>
        </w:rPr>
        <w:t>Pentru Programul Rabla Plus:</w:t>
      </w:r>
    </w:p>
    <w:p w14:paraId="0DF1EB89" w14:textId="77777777" w:rsidR="00213439" w:rsidRPr="00607355" w:rsidRDefault="00213439" w:rsidP="00E2217B">
      <w:pPr>
        <w:numPr>
          <w:ilvl w:val="0"/>
          <w:numId w:val="5"/>
        </w:numPr>
        <w:rPr>
          <w:color w:val="313131"/>
          <w:szCs w:val="18"/>
        </w:rPr>
      </w:pPr>
      <w:r w:rsidRPr="00607355">
        <w:rPr>
          <w:color w:val="313131"/>
          <w:szCs w:val="18"/>
        </w:rPr>
        <w:t>persoane fizice – 262.000.000 lei;</w:t>
      </w:r>
    </w:p>
    <w:p w14:paraId="14E59F58" w14:textId="77777777" w:rsidR="00213439" w:rsidRPr="00607355" w:rsidRDefault="00213439" w:rsidP="00E2217B">
      <w:pPr>
        <w:numPr>
          <w:ilvl w:val="0"/>
          <w:numId w:val="5"/>
        </w:numPr>
        <w:rPr>
          <w:color w:val="313131"/>
          <w:szCs w:val="18"/>
        </w:rPr>
      </w:pPr>
      <w:r w:rsidRPr="00607355">
        <w:rPr>
          <w:color w:val="313131"/>
          <w:szCs w:val="18"/>
        </w:rPr>
        <w:t>persoane juridice – 190.300.000 lei;</w:t>
      </w:r>
    </w:p>
    <w:p w14:paraId="481EABC4" w14:textId="77777777" w:rsidR="00213439" w:rsidRPr="00607355" w:rsidRDefault="00213439" w:rsidP="00E2217B">
      <w:pPr>
        <w:numPr>
          <w:ilvl w:val="0"/>
          <w:numId w:val="5"/>
        </w:numPr>
        <w:rPr>
          <w:color w:val="313131"/>
          <w:szCs w:val="18"/>
        </w:rPr>
      </w:pPr>
      <w:r w:rsidRPr="00607355">
        <w:rPr>
          <w:color w:val="313131"/>
          <w:szCs w:val="18"/>
        </w:rPr>
        <w:lastRenderedPageBreak/>
        <w:t>U.A.T.-uri și instituții publice – 100.000.000 lei.</w:t>
      </w:r>
    </w:p>
    <w:p w14:paraId="5BB04BE7"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În cadrul Programului Rabla Clasic, prima de casare este de 6.000 lei, respectiv 9.000 lei în cazul predării a 2 autovehicule uzate, la care se pot adăuga următoarele ecobonusuri, astfel:  </w:t>
      </w:r>
    </w:p>
    <w:p w14:paraId="155CC49F" w14:textId="77777777" w:rsidR="00213439" w:rsidRPr="00607355" w:rsidRDefault="00213439" w:rsidP="00E2217B">
      <w:pPr>
        <w:numPr>
          <w:ilvl w:val="0"/>
          <w:numId w:val="6"/>
        </w:numPr>
        <w:rPr>
          <w:color w:val="313131"/>
          <w:szCs w:val="18"/>
        </w:rPr>
      </w:pPr>
      <w:r w:rsidRPr="00607355">
        <w:rPr>
          <w:color w:val="313131"/>
          <w:szCs w:val="18"/>
        </w:rPr>
        <w:t>ecobonus în valoare de 1.500 lei, pentru autovehiculul nou, exceptând motocicletele, al cărui sistem de propulsie generează maximum 120 g CO2/km în sistem WLTP;</w:t>
      </w:r>
    </w:p>
    <w:p w14:paraId="22EFCA3A" w14:textId="77777777" w:rsidR="00213439" w:rsidRPr="00607355" w:rsidRDefault="00213439" w:rsidP="00E2217B">
      <w:pPr>
        <w:numPr>
          <w:ilvl w:val="0"/>
          <w:numId w:val="6"/>
        </w:numPr>
        <w:rPr>
          <w:color w:val="313131"/>
          <w:szCs w:val="18"/>
        </w:rPr>
      </w:pPr>
      <w:r w:rsidRPr="00607355">
        <w:rPr>
          <w:color w:val="313131"/>
          <w:szCs w:val="18"/>
        </w:rPr>
        <w:t>ecobonus în valoare de 1.500 lei, pentru autovehiculul nou, exceptând motocicletele, echipat cu motorizare GPL/GNC;</w:t>
      </w:r>
    </w:p>
    <w:p w14:paraId="642DCAF7" w14:textId="77777777" w:rsidR="00213439" w:rsidRPr="00607355" w:rsidRDefault="00213439" w:rsidP="00E2217B">
      <w:pPr>
        <w:numPr>
          <w:ilvl w:val="0"/>
          <w:numId w:val="6"/>
        </w:numPr>
        <w:rPr>
          <w:color w:val="313131"/>
          <w:szCs w:val="18"/>
        </w:rPr>
      </w:pPr>
      <w:r w:rsidRPr="00607355">
        <w:rPr>
          <w:color w:val="313131"/>
          <w:szCs w:val="18"/>
        </w:rPr>
        <w:t>ecobonus în valoare de 3.000 lei la achiziţionarea unui autovehicul nou, exceptând motocicletele, echipat cu sistem de propulsie hibrid;</w:t>
      </w:r>
    </w:p>
    <w:p w14:paraId="4BD052E7" w14:textId="77777777" w:rsidR="00213439" w:rsidRPr="00607355" w:rsidRDefault="00213439" w:rsidP="00E2217B">
      <w:pPr>
        <w:numPr>
          <w:ilvl w:val="0"/>
          <w:numId w:val="6"/>
        </w:numPr>
        <w:rPr>
          <w:color w:val="313131"/>
          <w:szCs w:val="18"/>
        </w:rPr>
      </w:pPr>
      <w:r w:rsidRPr="00607355">
        <w:rPr>
          <w:color w:val="313131"/>
          <w:szCs w:val="18"/>
        </w:rPr>
        <w:t>ecobonus în valoare de 1.500 lei, pentru casarea fiecărui autovehicul uzat cu o vechime de cel puțin 15 ani de la data fabricației și care are norma de poluare Euro 3 sau inferioară.</w:t>
      </w:r>
    </w:p>
    <w:p w14:paraId="12093459"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Pentru achiziționarea de motociclete noi în schimbul predării spre casare a unui autovehicul uzat, se acordă o primă de casare de 6.000 lei, la care se pot adauga:</w:t>
      </w:r>
    </w:p>
    <w:p w14:paraId="0629F84D" w14:textId="77777777" w:rsidR="00213439" w:rsidRPr="00607355" w:rsidRDefault="00213439" w:rsidP="00E2217B">
      <w:pPr>
        <w:numPr>
          <w:ilvl w:val="0"/>
          <w:numId w:val="7"/>
        </w:numPr>
        <w:rPr>
          <w:color w:val="313131"/>
          <w:szCs w:val="18"/>
        </w:rPr>
      </w:pPr>
      <w:r w:rsidRPr="00607355">
        <w:rPr>
          <w:color w:val="313131"/>
          <w:szCs w:val="18"/>
        </w:rPr>
        <w:t>ecobonus în valoare de 1.500 lei, pentru autovehiculul nou motocicletă al cărui sistem de propulsie generează maximum 90 g CO2/km în sistem WMTC;</w:t>
      </w:r>
    </w:p>
    <w:p w14:paraId="13275DC5" w14:textId="77777777" w:rsidR="00213439" w:rsidRPr="00607355" w:rsidRDefault="00213439" w:rsidP="00E2217B">
      <w:pPr>
        <w:numPr>
          <w:ilvl w:val="0"/>
          <w:numId w:val="7"/>
        </w:numPr>
        <w:rPr>
          <w:color w:val="313131"/>
          <w:szCs w:val="18"/>
        </w:rPr>
      </w:pPr>
      <w:r w:rsidRPr="00607355">
        <w:rPr>
          <w:color w:val="313131"/>
          <w:szCs w:val="18"/>
        </w:rPr>
        <w:t>ecobonus în valoare de 1.500 lei, pentru casarea unui autovehicul uzat cu o vechime de cel puțin 15 ani de la data fabricației și care are norma de poluare Euro 3 sau inferioară.</w:t>
      </w:r>
    </w:p>
    <w:p w14:paraId="68450018"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În cadrul Programului Rabla Plus, cuantumul finanțării este de:</w:t>
      </w:r>
    </w:p>
    <w:p w14:paraId="3A217508" w14:textId="77777777" w:rsidR="00213439" w:rsidRPr="00607355" w:rsidRDefault="00213439" w:rsidP="00E2217B">
      <w:pPr>
        <w:numPr>
          <w:ilvl w:val="0"/>
          <w:numId w:val="8"/>
        </w:numPr>
        <w:rPr>
          <w:color w:val="313131"/>
          <w:szCs w:val="18"/>
        </w:rPr>
      </w:pPr>
      <w:r w:rsidRPr="00607355">
        <w:rPr>
          <w:color w:val="313131"/>
          <w:szCs w:val="18"/>
        </w:rPr>
        <w:t>51.000 de lei pentru un autovehicul nou pur electric sau a unui autovehicul nou cu pilă de combustie cu hidrogen și 26.000 de lei pentru un autovehicul nou electric hibrid plug-in, exceptând motocicleta, care generează maximum 80 g CO2/km în sistem WLTP, în schimbul casării unui autovehicul uzat;</w:t>
      </w:r>
    </w:p>
    <w:p w14:paraId="3093855B" w14:textId="77777777" w:rsidR="00213439" w:rsidRPr="00607355" w:rsidRDefault="00213439" w:rsidP="00E2217B">
      <w:pPr>
        <w:numPr>
          <w:ilvl w:val="0"/>
          <w:numId w:val="8"/>
        </w:numPr>
        <w:rPr>
          <w:color w:val="313131"/>
          <w:szCs w:val="18"/>
        </w:rPr>
      </w:pPr>
      <w:r w:rsidRPr="00607355">
        <w:rPr>
          <w:color w:val="313131"/>
          <w:szCs w:val="18"/>
        </w:rPr>
        <w:t>54.000 de lei pentru un autovehicul nou pur electric sau a unui autovehicul nou cu pilă de combustie cu hidrogen și 29.000 de lei pentru un autovehicul electric hibrid plug-in, care generează maximum 80 g CO2/km în sistem WLTP, pentru achiziționarea unui autovehicul nou, în schimbul casării a două autovehicule uzate; </w:t>
      </w:r>
    </w:p>
    <w:p w14:paraId="266FB88C" w14:textId="77777777" w:rsidR="00213439" w:rsidRPr="00607355" w:rsidRDefault="00213439" w:rsidP="00E2217B">
      <w:pPr>
        <w:numPr>
          <w:ilvl w:val="0"/>
          <w:numId w:val="8"/>
        </w:numPr>
        <w:rPr>
          <w:color w:val="313131"/>
          <w:szCs w:val="18"/>
        </w:rPr>
      </w:pPr>
      <w:r w:rsidRPr="00607355">
        <w:rPr>
          <w:color w:val="313131"/>
          <w:szCs w:val="18"/>
        </w:rPr>
        <w:t>pentru fiecare autovehicul uzat mai vechi de 15 ani și care are norma de poluare nu mai mare de Euro 3, se adăugă un ecobonus de 1.500 lei/autovehicul.</w:t>
      </w:r>
    </w:p>
    <w:p w14:paraId="27078716"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De asemenea, ecotichetul pentru achiziționarea unei motociclete electrice este 26.000 lei, la care se poate adăuga un ecobonus în valoare de 1.500 lei, pentru casarea unui autovehicul uzat cu o vechime de cel puțin 15 ani de la data fabricației și care are norma de poluare Euro 3 sau inferioară.</w:t>
      </w:r>
    </w:p>
    <w:p w14:paraId="66D6219E" w14:textId="77777777" w:rsidR="00213439" w:rsidRPr="00607355" w:rsidRDefault="00213439" w:rsidP="00607355">
      <w:pPr>
        <w:pStyle w:val="NormalWeb"/>
        <w:spacing w:before="120" w:beforeAutospacing="0" w:after="0" w:afterAutospacing="0"/>
        <w:rPr>
          <w:rFonts w:ascii="Verdana" w:hAnsi="Verdana"/>
          <w:color w:val="313131"/>
          <w:sz w:val="18"/>
          <w:szCs w:val="18"/>
        </w:rPr>
      </w:pPr>
      <w:r w:rsidRPr="00607355">
        <w:rPr>
          <w:rFonts w:ascii="Verdana" w:hAnsi="Verdana"/>
          <w:color w:val="313131"/>
          <w:sz w:val="18"/>
          <w:szCs w:val="18"/>
        </w:rPr>
        <w:t>Următoarea sesiune de înscriere în cadrul acestor programe va fi lansată în luna septembrie 2022, calendarul de desfășurare a sesiunilor de înscriere în cadrul celor două programe și sumele alocate solicitanților fiind disponibile pe site-ul AFM.</w:t>
      </w:r>
    </w:p>
    <w:p w14:paraId="3FD4A74E" w14:textId="77777777" w:rsidR="00213439" w:rsidRPr="00607355" w:rsidRDefault="00213439" w:rsidP="00D860C3">
      <w:pPr>
        <w:pStyle w:val="Stilsursa"/>
      </w:pPr>
      <w:r w:rsidRPr="00607355">
        <w:t>Sursa: AFM</w:t>
      </w:r>
    </w:p>
    <w:p w14:paraId="7EC712AD" w14:textId="77777777" w:rsidR="008B23DB" w:rsidRDefault="008B23DB" w:rsidP="008B23DB">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AA06A7">
      <w:pPr>
        <w:pStyle w:val="DinactualitateaEU"/>
      </w:pPr>
      <w:bookmarkStart w:id="163" w:name="_Toc104197291"/>
      <w:r w:rsidRPr="00AA06A7">
        <w:t>Din actualitatea europeană</w:t>
      </w:r>
      <w:bookmarkEnd w:id="163"/>
    </w:p>
    <w:p w14:paraId="111BC619" w14:textId="77777777" w:rsidR="009E18B2" w:rsidRPr="00C92074" w:rsidRDefault="009E18B2" w:rsidP="00C92074">
      <w:pPr>
        <w:pStyle w:val="TitluArticolinINFOUE"/>
        <w:rPr>
          <w:lang w:eastAsia="ro-RO"/>
        </w:rPr>
      </w:pPr>
      <w:bookmarkStart w:id="164" w:name="_Toc104197292"/>
      <w:r w:rsidRPr="00C92074">
        <w:t>Previziuni economice de primăvară ale Comisiei Europene pentru România: 2,6% creştere economică în 2022 şi 3,6% în 2023</w:t>
      </w:r>
      <w:bookmarkEnd w:id="164"/>
    </w:p>
    <w:p w14:paraId="718B6893" w14:textId="77777777" w:rsidR="009E18B2" w:rsidRPr="00C92074" w:rsidRDefault="009E18B2" w:rsidP="00C92074">
      <w:pPr>
        <w:pStyle w:val="ecl-page-header-standardiseddescription"/>
        <w:shd w:val="clear" w:color="auto" w:fill="FFFFFF"/>
        <w:spacing w:before="120" w:beforeAutospacing="0" w:after="0" w:afterAutospacing="0"/>
        <w:rPr>
          <w:rFonts w:ascii="Verdana" w:hAnsi="Verdana" w:cs="Arial"/>
          <w:color w:val="404040"/>
          <w:sz w:val="18"/>
          <w:szCs w:val="18"/>
        </w:rPr>
      </w:pPr>
      <w:r w:rsidRPr="00C92074">
        <w:rPr>
          <w:rFonts w:ascii="Verdana" w:hAnsi="Verdana" w:cs="Arial"/>
          <w:color w:val="404040"/>
          <w:sz w:val="18"/>
          <w:szCs w:val="18"/>
        </w:rPr>
        <w:t>După o creștere puternică în 2021, economia României urmează să încetinească până la 2,6 % în 2022.</w:t>
      </w:r>
    </w:p>
    <w:p w14:paraId="0C37B1C9" w14:textId="56494335" w:rsidR="009E18B2" w:rsidRPr="00C92074" w:rsidRDefault="009E18B2" w:rsidP="00C92074">
      <w:pPr>
        <w:rPr>
          <w:szCs w:val="18"/>
        </w:rPr>
      </w:pPr>
      <w:r w:rsidRPr="00C92074">
        <w:rPr>
          <w:noProof/>
          <w:szCs w:val="18"/>
          <w:lang w:eastAsia="ro-RO"/>
        </w:rPr>
        <w:lastRenderedPageBreak/>
        <w:drawing>
          <wp:anchor distT="0" distB="0" distL="114300" distR="114300" simplePos="0" relativeHeight="252106752" behindDoc="0" locked="0" layoutInCell="1" allowOverlap="1" wp14:anchorId="04D33CB6" wp14:editId="78F02505">
            <wp:simplePos x="0" y="0"/>
            <wp:positionH relativeFrom="column">
              <wp:posOffset>2540</wp:posOffset>
            </wp:positionH>
            <wp:positionV relativeFrom="paragraph">
              <wp:posOffset>76200</wp:posOffset>
            </wp:positionV>
            <wp:extent cx="2943225" cy="1642385"/>
            <wp:effectExtent l="0" t="0" r="0" b="0"/>
            <wp:wrapSquare wrapText="bothSides"/>
            <wp:docPr id="32" name="Picture 32" descr="Econ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onForecast"/>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43225" cy="1642385"/>
                    </a:xfrm>
                    <a:prstGeom prst="rect">
                      <a:avLst/>
                    </a:prstGeom>
                    <a:noFill/>
                    <a:ln>
                      <a:noFill/>
                    </a:ln>
                  </pic:spPr>
                </pic:pic>
              </a:graphicData>
            </a:graphic>
          </wp:anchor>
        </w:drawing>
      </w:r>
    </w:p>
    <w:p w14:paraId="1C1B3BF6"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După o creștere puternică în 2021, economia României urmează să încetinească până la 2,6 % în 2022, deoarece inflația ridicată erodează venitul disponibil, iar războiul de agresiune al Rusiei împotriva Ucrainei afectează sentimentul economic, lanțurile de aprovizionare și, în cele din urmă, investițiile. Se preconizează o ușoară accelerare a creșterii în 2023, odată cu o posibilă scădere a inflației. Se estimează că șomajul va rămâne la aproximativ 5,5 %, în timp ce prețurile vor atinge un nivel maxim în acest an, care va scădea treptat în 2023. Se preconizează că deficitul public va atinge 7,5 % din PIB în 2022, urmând să scadă până la 6,3 % în 2023, astfel încât ponderea datoriei în PIB va ajunge la 52,6 % până în 2023.</w:t>
      </w:r>
    </w:p>
    <w:p w14:paraId="5BD81AD1"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O încetinire a creșterii pe măsură ce războiul exacerbează dificultățile deja existente</w:t>
      </w:r>
    </w:p>
    <w:p w14:paraId="0C89A496" w14:textId="54D49F53"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Se preconizează că PIB-ul UE va rămâne pozitiv în perioada analizată în previziuni, datorită efectului combinat al redeschiderilor post-izolare și al măsurilor ferme luate la nivel de politici în cursul pandemiei pentru a sprijini creșterea economică. Mai exact, redeschiderea post-pandemie a serviciilor cu intensitate ridicată a contactelor, o piață a muncii puternică și care continuă să se amelioreze, o acumulare mai scăzută a economiilor și măsurile bugetare de compensare a creșterii prețurilor la energie urmează să sprijine consumul privat. Investițiile vor beneficia de desfășurarea integrală a </w:t>
      </w:r>
      <w:hyperlink r:id="rId45" w:history="1">
        <w:r w:rsidRPr="00C92074">
          <w:rPr>
            <w:rStyle w:val="Hyperlink"/>
            <w:rFonts w:cs="Arial"/>
            <w:color w:val="004494"/>
          </w:rPr>
          <w:t>Mecanismului de redresare și reziliență</w:t>
        </w:r>
      </w:hyperlink>
      <w:hyperlink r:id="rId46" w:history="1"/>
      <w:r w:rsidRPr="00C92074">
        <w:rPr>
          <w:rFonts w:ascii="Verdana" w:hAnsi="Verdana"/>
          <w:color w:val="404040"/>
          <w:sz w:val="18"/>
          <w:szCs w:val="18"/>
        </w:rPr>
        <w:t> și de implementarea agendei de reforme aferente.</w:t>
      </w:r>
    </w:p>
    <w:p w14:paraId="177BCE1C"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Creșterea PIB-ului real, atât în UE, cât și în zona euro, este estimată în prezent la 2,7 % în 2022 și la 2,3 % în 2023, în scădere de la 4,0 %, respectiv 2,8 % (2,7 % în zona euro) în previziunile intermediare din iarna anului 2022. Declinul din 2022 trebuie interpretat în contextul dinamicii creșterii economice din primăvara și vara anului trecut, care adaugă aproximativ 2 puncte procentuale la ritmul anual de creștere pentru acest an. Creșterea producției din cursul anului s-a redus de la 2,1 % la 0,8 %.</w:t>
      </w:r>
    </w:p>
    <w:p w14:paraId="039EC3D2"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Principalul impact asupra economiei mondiale și a economiei Uniunii este legat de prețurile materiilor prime energetice. Deși ele crescuseră deja substanțial înaintea războiului, de la nivelurile scăzute înregistrate în timpul pandemiei, incertitudinea legată de lanțurile de aprovizionare a exercitat o presiune în sus asupra prețurilor, sporindu-le totodată volatilitatea. Este ceea ce s-a întâmplat cu alimentele și alte bunuri și servicii de bază, pe fondul unei scăderi a puterii de cumpărare a gospodăriilor.</w:t>
      </w:r>
    </w:p>
    <w:p w14:paraId="7CCAF2E0"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Perturbările provocate de război la nivel logistic și al lanțului de aprovizionare, precum și creșterea costurilor de producție la o gamă largă de materii prime se adaugă, pe de o parte, perturbărilor din comerțul mondial cauzate de măsurile drastice de limitare a răspândirii COVID-19 aplicate încă în anumite părți ale Chinei, și afectează, pe de altă parte, producția.</w:t>
      </w:r>
    </w:p>
    <w:p w14:paraId="10D4864C"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Prețurile la energie împing inflația la niveluri record</w:t>
      </w:r>
    </w:p>
    <w:p w14:paraId="4430BC18"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Ritmul inflației s-a accelerat de la începutul anului 2021. De la 4,6 % an la an în ultimul trimestru din 2021, aceasta a crescut la 6,1 % în primul trimestru din 2022. Inflația totală din zona euro a crescut la 7,5 % în luna aprilie, cea mai mare rată din istoria uniunii monetare.</w:t>
      </w:r>
    </w:p>
    <w:p w14:paraId="1CACBE30"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Inflația din zona euro este estimată la 6,1 % în 2022, ea urmând să scadă la 2,7 % în 2023. Pentru 2022 în ansamblu, aceasta reprezintă o revizuire ascendentă considerabilă, în comparație cu previziunile intermediare din iarna anului 2022 (3,5 %). Se preconizează că inflația va atinge un nivel maxim de 6,9 % în al doilea trimestru al acestui an, ea urmând apoi să scadă treptat. Pentru UE, se preconizează că inflația va crește de la 2,9 % în 2021 la 6,8 % în 2022 și că va scădea din nou la 3,2 % în 2023. Inflația medie de bază este estimată la peste 3 % în 2022 și 2023, atât în UE, cât și în zona euro.</w:t>
      </w:r>
    </w:p>
    <w:p w14:paraId="2A08E645"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O piață a muncii puternică și care continuă să se amelioreze</w:t>
      </w:r>
    </w:p>
    <w:p w14:paraId="3276ACB3"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Piața muncii intră în noua criză de pe o bază solidă. În 2021, în economia Uniunii au fost create peste 5,2 milioane de locuri de muncă, ceea ce a atras un număr suplimentar de aproape 3,5 milioane de persoane pe piața muncii. În plus, numărul șomerilor a scăzut cu aproape 1,8 milioane de persoane. Ratele șomajului la finele anului 2021 au scăzut sub nivelurile record anterioare.</w:t>
      </w:r>
    </w:p>
    <w:p w14:paraId="0DCC1B62"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lastRenderedPageBreak/>
        <w:t>Conform previziunilor, condițiile de pe piața muncii vor continua să se amelioreze. Se estimează că ocuparea forței de muncă din UE va crește cu 1,2 % anul acesta, deși această rată anuală de creștere este stimulată de dinamica puternică din a doua jumătate a anului trecut. Se anticipează că refugiații de război ucraineni din Uniune vor intra pe piețele muncii doar treptat, cu efecte tangibile ce vor deveni vizibile abia începând cu anul viitor.</w:t>
      </w:r>
    </w:p>
    <w:p w14:paraId="6A433599"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Ratele șomajului ar urma să scadă, conform previziunilor, până la 6,7 % în acest an și 6,5 % în 2023 în UE, în timp ce în zona euro ele ar urma să atingă 7,3 % în 2022 și 7,0 % în 2023.</w:t>
      </w:r>
    </w:p>
    <w:p w14:paraId="2F6C14DC"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Deficitele publice continuă să scadă, dar costurile legate de război cresc</w:t>
      </w:r>
    </w:p>
    <w:p w14:paraId="60691370"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În pofida costurilor măsurilor de atenuare a impactului prețurilor ridicate la energie și ale măsurilor de sprijinire a refugiaților ucraineni, se preconizează că deficitul public agregat din UE va continua să scadă în 2022 și 2023, datorită retragerii în continuare a măsurilor temporare de sprijin legate de COVID-19. De la 4,7 % din PIB în 2021, se preconizează că deficitul UE va scădea la 3,6 % din PIB în 2022 și la 2,5 % în 2023 (3,7 % și 2,5 % în zona euro).</w:t>
      </w:r>
    </w:p>
    <w:p w14:paraId="3A1B8F85"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După ce a scăzut la aproximativ 90 % în 2021 (97 % în zona euro) față de vârful istoric de aproape 92 % din PIB în 2020 (aproape 100 % în zona euro), se preconizează că ponderea agregată a datoriei în PIB la nivelul UE va scădea la aproximativ 87 % în 2022 și la 85 % în 2023 (95 %, respectiv 93 % în zona euro), rămânând peste nivelul anterior COVID-19.</w:t>
      </w:r>
    </w:p>
    <w:p w14:paraId="4E5DC75E"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Incertitudinea și riscurile depind de evoluția războiului</w:t>
      </w:r>
    </w:p>
    <w:p w14:paraId="7EB64A1F"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Riscurile la adresa previziunilor privind activitatea economică și inflația depind în mare măsură de evoluția războiului și, în special, de impactul acestuia asupra piețelor energiei.</w:t>
      </w:r>
    </w:p>
    <w:p w14:paraId="32467376"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Având în vedere gradul ridicat de incertitudine, previziunea de referință este însoțită de o analiză de scenariu bazată pe modele, care simulează impactul creșterii prețurilor la produsele energetice de bază, precum și impactul unei întreruperi totale a aprovizionării cu gaze din Rusia. În acest din urmă scenariu, mai sever, ratele de creștere a PIB-ului s-ar situa sub nivelul de referință prevăzut cu aproximativ 2,5 puncte procentuale în 2022, respectiv 1 punct procentual în 2023, în timp ce inflația ar crește cu 3 puncte procentuale în 2022 și cu peste 1 punct procentual în 2023, peste proiecția de bază.</w:t>
      </w:r>
    </w:p>
    <w:p w14:paraId="53C8346E"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Pe lângă aceste perturbări potențiale ale aprovizionării cu energie, problemele mai grave decât se preconizase din lanțurile de aprovizionare, precum și creșterile suplimentare ale prețurilor materiilor prime non-energetice, în special ale alimentelor, ar putea conduce la o intensificare a presiunilor în jos asupra creșterii economice și a presiunilor în sus asupra prețurilor. Efectele secundare mai mari decât se preconizase provocate de un șoc inflaționist importat ar putea amplifica forțele stagflaționiste. Presiunile inflaționiste puternice sunt însoțite și de riscuri sporite la adresa condițiilor de finanțare. În fine, COVID-19 rămâne un factor de risc.</w:t>
      </w:r>
    </w:p>
    <w:p w14:paraId="42905380"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Dincolo de aceste riscuri imediate, invadarea Ucrainei de către Rusia duce la o „decuplare” economică a Uniunii de Rusia, cu consecințe dificil de înțeles pe deplin în momentul de față.</w:t>
      </w:r>
    </w:p>
    <w:p w14:paraId="35E032C9"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Declarațiile membrilor colegiului</w:t>
      </w:r>
    </w:p>
    <w:p w14:paraId="75092853"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Valdis </w:t>
      </w:r>
      <w:r w:rsidRPr="00C92074">
        <w:rPr>
          <w:rStyle w:val="Strong"/>
          <w:color w:val="404040"/>
        </w:rPr>
        <w:t>Dombrovskis</w:t>
      </w:r>
      <w:r w:rsidRPr="00C92074">
        <w:rPr>
          <w:rFonts w:ascii="Verdana" w:hAnsi="Verdana"/>
          <w:color w:val="404040"/>
          <w:sz w:val="18"/>
          <w:szCs w:val="18"/>
        </w:rPr>
        <w:t>, vicepreședintele executiv pentru o economie în serviciul cetățenilor, a declarat: </w:t>
      </w:r>
      <w:r w:rsidRPr="00C92074">
        <w:rPr>
          <w:rStyle w:val="Emphasis"/>
          <w:color w:val="404040"/>
        </w:rPr>
        <w:t>„Nu există nicio îndoială că economia Uniunii trece printr-o perioadă dificilă din cauza războiului Rusiei împotriva Ucrainei. În consecință, ne-am revizuit previziunile în sens descrescător. Factorul negativ covârșitor este creșterea prețurilor la energie, care a împins inflația la niveluri record și a pus presiune asupra întreprinderilor și gospodăriilor europene. Deși creșterea va continua anul acesta și anul viitor, ea va fi mult mai modestă decât ne așteptasem anterior. Incertitudinea și riscurile la adresa perspectivelor vor rămâne ridicate atât timp cât agresiunea Rusiei continuă. Există însă unele rezultate pozitive care ne permit să facem față acestei crize. Fundamentele noastre economice sunt solide: înainte de începerea acestui război, economia Uniunii se angajase pe calea unei redresări și creșteri economice puternice. Economia Uniunii creează tot mai multe locuri de muncă, atrăgând un număr sporit de persoane pe piața muncii și menținând șomajul la un nivel scăzut. Pe măsură ce statele membre își pun pe deplin în aplicare planurile de redresare și reziliență, acest lucru va oferi impulsul atât de necesar forței noastre economice.”</w:t>
      </w:r>
    </w:p>
    <w:p w14:paraId="7B5CFA26"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Paolo </w:t>
      </w:r>
      <w:r w:rsidRPr="00C92074">
        <w:rPr>
          <w:rStyle w:val="Strong"/>
          <w:color w:val="404040"/>
        </w:rPr>
        <w:t>Gentiloni</w:t>
      </w:r>
      <w:r w:rsidRPr="00C92074">
        <w:rPr>
          <w:rFonts w:ascii="Verdana" w:hAnsi="Verdana"/>
          <w:color w:val="404040"/>
          <w:sz w:val="18"/>
          <w:szCs w:val="18"/>
        </w:rPr>
        <w:t>, comisarul pentru economie, a declarat: </w:t>
      </w:r>
      <w:r w:rsidRPr="00C92074">
        <w:rPr>
          <w:rStyle w:val="Emphasis"/>
          <w:color w:val="404040"/>
        </w:rPr>
        <w:t xml:space="preserve">„Invadarea Ucrainei de către Rusia provoacă suferințe și distrugeri inimaginabile, însă ea afectează și redresarea economică a Europei. Războiul a </w:t>
      </w:r>
      <w:r w:rsidRPr="00C92074">
        <w:rPr>
          <w:rStyle w:val="Emphasis"/>
          <w:color w:val="404040"/>
        </w:rPr>
        <w:lastRenderedPageBreak/>
        <w:t>condus la o creștere bruscă a prețurilor la energie și a perturbat și mai mult lanțurile de aprovizionare. Prin urmare, în prezent, se preconizează că inflația va rămâne la un nivel mai înalt pentru o perioadă mai lungă de timp. Redresarea economică puternică de anul trecut va continua să aibă un efect pozitiv asupra ritmului de creștere din acest an. O piață a muncii puternică, redeschiderea post-pandemie și NextGenerationEU ar trebui să ofere un sprijin suplimentar economiilor noastre și să contribuie la reducerea datoriei și a deficitelor publice. Aceste previziuni sunt însă supuse unui grad ridicat de incertitudine și unor riscuri strâns legate de evoluția războiului din Rusia. Sunt posibile și alte scenarii, în care creșterea ar putea fi mai scăzută și inflația mai ridicată decât anticipăm astăzi.”</w:t>
      </w:r>
    </w:p>
    <w:p w14:paraId="38F589B4"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Context</w:t>
      </w:r>
    </w:p>
    <w:p w14:paraId="3EB088A5"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Aceste previziuni se bazează pe o serie de ipoteze tehnice referitoare la evoluția cursurilor de schimb, a ratelor dobânzilor și a prețurilor produselor de bază, întemeiate pe informațiile disponibile până la data de 29 aprilie. Pentru toate celelalte date-sursă, inclusiv ipotezele privind politicile publice, aceste previziuni iau în considerare informațiile disponibile până la data de 29 aprilie, inclusiv. Cu excepția cazului în care sunt anunțate și detaliate în mod corespunzător noi politici, proiecțiile pornesc de la ipoteza menținerii politicilor actuale.</w:t>
      </w:r>
    </w:p>
    <w:p w14:paraId="1576FC02"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Comisia Europeană publică în fiecare an două seturi de previziuni detaliate (în primăvară și în toamnă) și două seturi de previziuni intermediare (în iarnă și în vară). Previziunile intermediare cuprind valorile anuale și trimestriale ale PIB-ului și ale inflației tuturor statelor membre pentru anul în curs și pentru anul următor, precum și date agregate pentru UE și zona euro.</w:t>
      </w:r>
    </w:p>
    <w:p w14:paraId="10AE98F1"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Previziunile economice ale Comisiei Europene din vara anului 2022 vor actualiza previziunile privind PIB-ul și inflația și se preconizează că vor fi prezentate în iulie 2022.</w:t>
      </w:r>
    </w:p>
    <w:p w14:paraId="152E2294"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Pentru informații suplimentare</w:t>
      </w:r>
    </w:p>
    <w:p w14:paraId="25F1571E" w14:textId="20A6CEE1"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Documentul complet: </w:t>
      </w:r>
      <w:hyperlink r:id="rId47" w:history="1">
        <w:r w:rsidRPr="00C92074">
          <w:rPr>
            <w:rStyle w:val="Hyperlink"/>
            <w:rFonts w:cs="Arial"/>
            <w:color w:val="004494"/>
          </w:rPr>
          <w:t>Previziunile economice din primăvara anului 2022</w:t>
        </w:r>
      </w:hyperlink>
      <w:hyperlink r:id="rId48" w:history="1"/>
    </w:p>
    <w:p w14:paraId="36A7DB16"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Urmăriți activitatea vicepreședintelui Dombrovskis pe Twitter: </w:t>
      </w:r>
      <w:hyperlink r:id="rId49" w:history="1">
        <w:r w:rsidRPr="00C92074">
          <w:rPr>
            <w:rStyle w:val="Hyperlink"/>
            <w:rFonts w:cs="Arial"/>
            <w:color w:val="004494"/>
          </w:rPr>
          <w:t>@VDombrovskis</w:t>
        </w:r>
      </w:hyperlink>
    </w:p>
    <w:p w14:paraId="608CB5E1"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Urmăriți activitatea comisarului Gentiloni pe Twitter: </w:t>
      </w:r>
      <w:hyperlink r:id="rId50" w:history="1">
        <w:r w:rsidRPr="00C92074">
          <w:rPr>
            <w:rStyle w:val="Hyperlink"/>
            <w:rFonts w:cs="Arial"/>
            <w:color w:val="004494"/>
          </w:rPr>
          <w:t>@PaoloGentiloni</w:t>
        </w:r>
      </w:hyperlink>
    </w:p>
    <w:p w14:paraId="112A5F3E"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Urmăriți activitatea DG ECFIN pe Twitter: </w:t>
      </w:r>
      <w:hyperlink r:id="rId51" w:history="1">
        <w:r w:rsidRPr="00C92074">
          <w:rPr>
            <w:rStyle w:val="Hyperlink"/>
            <w:rFonts w:cs="Arial"/>
            <w:color w:val="004494"/>
          </w:rPr>
          <w:t>@ecfin</w:t>
        </w:r>
      </w:hyperlink>
    </w:p>
    <w:p w14:paraId="6D9F0DAB" w14:textId="5D3DC78D" w:rsidR="009E18B2" w:rsidRPr="00C92074" w:rsidRDefault="009E18B2" w:rsidP="00C92074">
      <w:pPr>
        <w:pStyle w:val="separatorarticole"/>
      </w:pPr>
      <w:r w:rsidRPr="00C92074">
        <w:t>*</w:t>
      </w:r>
    </w:p>
    <w:p w14:paraId="195DBE14" w14:textId="77777777" w:rsidR="009E18B2" w:rsidRPr="00C92074" w:rsidRDefault="009E18B2" w:rsidP="00C92074">
      <w:pPr>
        <w:pStyle w:val="TitluArticolinINFOUE"/>
        <w:rPr>
          <w:lang w:eastAsia="ro-RO"/>
        </w:rPr>
      </w:pPr>
      <w:bookmarkStart w:id="165" w:name="_Toc104197293"/>
      <w:r w:rsidRPr="00C92074">
        <w:t>Consiliul UE-SUA pentru comerț și tehnologie: consolidarea parteneriatului nostru reînnoit în vremuri nesigure</w:t>
      </w:r>
      <w:bookmarkEnd w:id="165"/>
    </w:p>
    <w:p w14:paraId="3C51C94D" w14:textId="2669EF82" w:rsidR="009E18B2" w:rsidRPr="00C92074" w:rsidRDefault="009E18B2" w:rsidP="00C92074">
      <w:pPr>
        <w:pStyle w:val="ecl-page-header-standardiseddescription"/>
        <w:shd w:val="clear" w:color="auto" w:fill="FFFFFF"/>
        <w:spacing w:before="120" w:beforeAutospacing="0" w:after="0" w:afterAutospacing="0"/>
        <w:rPr>
          <w:rFonts w:ascii="Verdana" w:hAnsi="Verdana" w:cs="Arial"/>
          <w:color w:val="404040"/>
          <w:sz w:val="18"/>
          <w:szCs w:val="18"/>
        </w:rPr>
      </w:pPr>
      <w:r w:rsidRPr="00C92074">
        <w:rPr>
          <w:rFonts w:ascii="Verdana" w:hAnsi="Verdana" w:cs="Arial"/>
          <w:color w:val="404040"/>
          <w:sz w:val="18"/>
          <w:szCs w:val="18"/>
        </w:rPr>
        <w:t xml:space="preserve">UE și SUA și-au reafirmat </w:t>
      </w:r>
      <w:r w:rsidR="00496A20">
        <w:rPr>
          <w:rFonts w:ascii="Verdana" w:hAnsi="Verdana" w:cs="Arial"/>
          <w:color w:val="404040"/>
          <w:sz w:val="18"/>
          <w:szCs w:val="18"/>
        </w:rPr>
        <w:t>în</w:t>
      </w:r>
      <w:r w:rsidRPr="00C92074">
        <w:rPr>
          <w:rFonts w:ascii="Verdana" w:hAnsi="Verdana" w:cs="Arial"/>
          <w:color w:val="404040"/>
          <w:sz w:val="18"/>
          <w:szCs w:val="18"/>
        </w:rPr>
        <w:t xml:space="preserve"> 16 mai. relațiile de cooperare strânsă în vederea abordării provocărilor mondiale din domeniul comerțului și tehnologiei.</w:t>
      </w:r>
    </w:p>
    <w:p w14:paraId="28A4661E" w14:textId="5711A086" w:rsidR="009E18B2" w:rsidRPr="00C92074" w:rsidRDefault="009E18B2" w:rsidP="00C92074">
      <w:pPr>
        <w:rPr>
          <w:szCs w:val="18"/>
        </w:rPr>
      </w:pPr>
      <w:r w:rsidRPr="00C92074">
        <w:rPr>
          <w:noProof/>
          <w:szCs w:val="18"/>
          <w:lang w:eastAsia="ro-RO"/>
        </w:rPr>
        <w:drawing>
          <wp:anchor distT="0" distB="0" distL="114300" distR="114300" simplePos="0" relativeHeight="252107776" behindDoc="0" locked="0" layoutInCell="1" allowOverlap="1" wp14:anchorId="2FC9173F" wp14:editId="4C99400C">
            <wp:simplePos x="0" y="0"/>
            <wp:positionH relativeFrom="column">
              <wp:posOffset>2540</wp:posOffset>
            </wp:positionH>
            <wp:positionV relativeFrom="paragraph">
              <wp:posOffset>73660</wp:posOffset>
            </wp:positionV>
            <wp:extent cx="1943100" cy="1296054"/>
            <wp:effectExtent l="0" t="0" r="0" b="0"/>
            <wp:wrapSquare wrapText="bothSides"/>
            <wp:docPr id="33" name="Picture 33" descr="EU-US Trade and Technolog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U-US Trade and Technology Counci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3100" cy="1296054"/>
                    </a:xfrm>
                    <a:prstGeom prst="rect">
                      <a:avLst/>
                    </a:prstGeom>
                    <a:noFill/>
                    <a:ln>
                      <a:noFill/>
                    </a:ln>
                  </pic:spPr>
                </pic:pic>
              </a:graphicData>
            </a:graphic>
          </wp:anchor>
        </w:drawing>
      </w:r>
    </w:p>
    <w:p w14:paraId="45EE49E4"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UE și SUA și-au reafirmat astăzi, 16 mai, relațiile de cooperare strânsă în vederea abordării provocărilor mondiale din domeniul comerțului și tehnologiei, în consonanță cu angajamentul comun al celor două părți de a apăra democrația, libertatea și drepturile omului. Reunite în cadrul celei de a doua reuniuni ministeriale a Consiliului pentru comerț și tehnologie (CCT) de la Paris, ambele părți au recunoscut rolul central care îi revine acestui for în cadrul parteneriatului transatlantic reînnoit, acesta contribuind deja la coordonarea măsurilor comune adoptate de UE și SUA ca răspuns la agresiunea Rusiei împotriva Ucrainei.</w:t>
      </w:r>
    </w:p>
    <w:p w14:paraId="6195841F" w14:textId="77777777" w:rsidR="009E18B2" w:rsidRPr="00C92074" w:rsidRDefault="009E18B2" w:rsidP="00C92074">
      <w:pPr>
        <w:rPr>
          <w:b/>
        </w:rPr>
      </w:pPr>
      <w:r w:rsidRPr="00C92074">
        <w:rPr>
          <w:b/>
        </w:rPr>
        <w:t>Declarațiile membrilor colegiului</w:t>
      </w:r>
    </w:p>
    <w:p w14:paraId="3FFA805D"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Margrethe </w:t>
      </w:r>
      <w:r w:rsidRPr="00C92074">
        <w:rPr>
          <w:rStyle w:val="Strong"/>
          <w:color w:val="404040"/>
        </w:rPr>
        <w:t>Vestager</w:t>
      </w:r>
      <w:r w:rsidRPr="00C92074">
        <w:rPr>
          <w:rFonts w:ascii="Verdana" w:hAnsi="Verdana"/>
          <w:color w:val="404040"/>
          <w:sz w:val="18"/>
          <w:szCs w:val="18"/>
        </w:rPr>
        <w:t>, vicepreședinta executivă pentru o Europă pregătită pentru era digitală și copreședinta CCT, a declarat: </w:t>
      </w:r>
      <w:r w:rsidRPr="00C92074">
        <w:rPr>
          <w:rStyle w:val="Emphasis"/>
          <w:color w:val="404040"/>
        </w:rPr>
        <w:t xml:space="preserve">Războiul de agresiune purtat de Rusia împotriva Ucrainei a scos și mai mult în evidență importanța cooperării noastre cu SUA în ceea ce privește aspectele economice și tehnologice. Este o cooperare care îmbrățișează și alte aspecte, dincolo de măsurile luate ca răspuns la război. Împreună cu partenerii noștri transatlantici, putem crea o viziune pozitivă pentru economiile noastre și pentru o guvernanță democratică a internetului bazată pe demnitatea și integritatea </w:t>
      </w:r>
      <w:r w:rsidRPr="00C92074">
        <w:rPr>
          <w:rStyle w:val="Emphasis"/>
          <w:color w:val="404040"/>
        </w:rPr>
        <w:lastRenderedPageBreak/>
        <w:t>persoanei. Acționând împreună, putem stabili coordonatele economiei de mâine. Ne unim așadar forțele, iar, în astfel de situații, în care doi parteneri hotărâți conduc prin puterea exemplului, avem convingerea că putem schimba lucrurile în bine.</w:t>
      </w:r>
    </w:p>
    <w:p w14:paraId="081B473B"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Valdis </w:t>
      </w:r>
      <w:r w:rsidRPr="00C92074">
        <w:rPr>
          <w:rStyle w:val="Strong"/>
          <w:color w:val="404040"/>
        </w:rPr>
        <w:t>Dombrovskis</w:t>
      </w:r>
      <w:r w:rsidRPr="00C92074">
        <w:rPr>
          <w:rFonts w:ascii="Verdana" w:hAnsi="Verdana"/>
          <w:color w:val="404040"/>
          <w:sz w:val="18"/>
          <w:szCs w:val="18"/>
        </w:rPr>
        <w:t>, vicepreședinte executiv, comisarul pentru comerț și totodată copreședintele CCT, a declarat:</w:t>
      </w:r>
      <w:r w:rsidRPr="00C92074">
        <w:rPr>
          <w:rStyle w:val="Emphasis"/>
          <w:b/>
          <w:bCs/>
          <w:color w:val="404040"/>
        </w:rPr>
        <w:t> </w:t>
      </w:r>
      <w:r w:rsidRPr="00C92074">
        <w:rPr>
          <w:rStyle w:val="Emphasis"/>
          <w:color w:val="404040"/>
        </w:rPr>
        <w:t>Sunt extrem de bucuros că am convenit, la această a doua reuniune a CCT, să extindem domeniile de cooperare cu SUA pentru a aborda provocările comerciale mondiale noi și emergente, acționând ca parteneri de încredere. Vom colabora îndeaproape pentru a garanta securitatea lanțurilor noastre de aprovizionare și a promova securitatea alimentară la nivel mondial. Ne vom baza pe coordonarea fără precedent pe care o avem cu partenerii noștri transatlantici cu privire la controlul exporturilor către Rusia pentru a ne armoniza și mai mult abordarea în acest domeniu critic, stimulând, în același timp, schimburile comerciale cu Ucraina. Vom coopera, de asemenea, în ceea ce privește promovarea comerțului verde, de exemplu prin intermediul achizițiilor publice verzi.</w:t>
      </w:r>
    </w:p>
    <w:p w14:paraId="198854F0"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Thierry </w:t>
      </w:r>
      <w:r w:rsidRPr="00C92074">
        <w:rPr>
          <w:rStyle w:val="Strong"/>
          <w:color w:val="404040"/>
        </w:rPr>
        <w:t>Breton</w:t>
      </w:r>
      <w:r w:rsidRPr="00C92074">
        <w:rPr>
          <w:rFonts w:ascii="Verdana" w:hAnsi="Verdana"/>
          <w:color w:val="404040"/>
          <w:sz w:val="18"/>
          <w:szCs w:val="18"/>
        </w:rPr>
        <w:t>, comisarul pentru piața internă, a adăugat: </w:t>
      </w:r>
      <w:r w:rsidRPr="00C92074">
        <w:rPr>
          <w:rStyle w:val="Emphasis"/>
          <w:color w:val="404040"/>
        </w:rPr>
        <w:t>Colaborarea transatlantică cu privire la lanțurile de aprovizionare și tehnologiile digitale este esențială pentru apărarea intereselor și a valorilor noastre comune. După o colaborare fructuoasă cu Statele Unite în ceea ce privește blocajele la nivelul lanțului de aprovizionare pentru ingredientele vaccinurilor, mă bucur să constat voința comună de a consolida reziliența lanțurilor de aprovizionare și în alte domenii, de la materii prime la semiconductori. Reuniunea de la Paris reprezintă un moment important pentru Consiliul pentru comerț și tehnologie, fiind o ocazie binevenită de a transforma dialogul transatlantic în rezultate concrete.</w:t>
      </w:r>
    </w:p>
    <w:p w14:paraId="1E2F3F00" w14:textId="77777777" w:rsidR="009E18B2" w:rsidRPr="00C92074" w:rsidRDefault="009E18B2" w:rsidP="00C92074">
      <w:pPr>
        <w:rPr>
          <w:b/>
        </w:rPr>
      </w:pPr>
      <w:r w:rsidRPr="00C92074">
        <w:rPr>
          <w:b/>
        </w:rPr>
        <w:t>Principalele rezultate ale celei de a 2-a reuniuni ministeriale a CCT</w:t>
      </w:r>
    </w:p>
    <w:p w14:paraId="1590A53D"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Sprijin pentru Ucraina</w:t>
      </w:r>
    </w:p>
    <w:p w14:paraId="691FDE83"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Copreședinții CCT și-au exprimat angajamentul comun ferm de a sprijini Ucraina împotriva agresiunii militare ruse și au convenit asupra unor măsuri concrete care au fost deja inițiate și vor continua în cadrul CCT. De asemenea, aceștia s-au angajat să colaboreze cu Ucraina în eforturile acesteia de a-și reconstrui economia și de a crea un cadru favorabil pentru comerț și investiții. </w:t>
      </w:r>
    </w:p>
    <w:p w14:paraId="06A84121"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Integritatea informațiilor</w:t>
      </w:r>
    </w:p>
    <w:p w14:paraId="7FD733ED"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Copreședinții au convenit să își consolideze cooperarea pentru a sprijini integritatea informațiilor în situații de criză, concentrându-se inițial asupra unui cadru analitic comun în vederea identificării acțiunilor Rusiei de manipulare a informațiilor și de interferență, care va permite ulterior stabilirea unui cadru de cooperare în toate situațiile de criză.</w:t>
      </w:r>
    </w:p>
    <w:p w14:paraId="7DEFF9FD"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Dialogul privind comerțul și munca</w:t>
      </w:r>
    </w:p>
    <w:p w14:paraId="7A565884"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Copreședinții au convenit să instituie un dialog tripartit privind comerțul și munca pentru a promova împreună drepturile lucrătorilor care sunt recunoscute la nivel internațional, precum și de a eradica munca forțată și munca copiilor, printre altele.</w:t>
      </w:r>
    </w:p>
    <w:p w14:paraId="5D8EB8A9"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Controlul exporturilor</w:t>
      </w:r>
    </w:p>
    <w:p w14:paraId="474F1D36"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Cooperarea în cadrul CCT a fost esențială pentru a asigura, într-un mod rapid și coordonat, controlul exporturilor de tehnologii avansate, cum ar fi cele din sectorul aerospațial și supravegherea cibernetică, astfel încât să se submineze capacitatea Rusiei de a-și dezvolta și mai mult capacitățile industriale și militare. Ambele părți s-au angajat să continue și să consolideze această cooperare strânsă.</w:t>
      </w:r>
    </w:p>
    <w:p w14:paraId="41207716"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Lanțuri de aprovizionare sigure</w:t>
      </w:r>
    </w:p>
    <w:p w14:paraId="15855200"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Având în vedere fragilizarea lanțurilor de aprovizionare mondiale în contextul agresiunii Rusiei împotriva Ucrainei, ambele părți au convenit că o cooperare strânsă, menită să promoveze reziliența lanțurilor de aprovizionare, este mai importantă ca oricând. De exemplu, UE și SUA au convenit să dezvolte un mecanism comun de alertă timpurie și monitorizare cu privire la lanțurile valorice ale semiconductorilor pentru a spori gradul de informare și de pregătire în cazul întreruperilor aprovizionării și a încuraja schimburile de informații astfel încât să se evite o cursă după subvenții.</w:t>
      </w:r>
    </w:p>
    <w:p w14:paraId="36A776A8"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Un grup operativ dedicat finanțării publice pentru servicii și tehnologii ale informației și comunicațiilor (ICTS) sigure și reziliente în țările terțe va pregăti, de asemenea, terenul pentru finanțarea publică comună de către SUA și UE a unor proiecte digitale în țări terțe, bazate pe un set de principii generale comune.</w:t>
      </w:r>
    </w:p>
    <w:p w14:paraId="517FEEC3"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lastRenderedPageBreak/>
        <w:t>Standarde tehnologice</w:t>
      </w:r>
    </w:p>
    <w:p w14:paraId="33F77F9D"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În domeniul tehnologiilor emergente, UE și SUA au convenit să instituie un mecanism de informare strategică de standardizare (ISS) pentru a promova și a apăra interesele comune în activitățile internaționale de standardizare. Ambele părți vor depune eforturi pentru a promova dezvoltarea unor standarde tehnice armonizate și interoperabile în domeniile de interes strategic comun, cum ar fi IA, fabricarea aditivă, reciclarea materialelor sau internetul obiectelor.</w:t>
      </w:r>
    </w:p>
    <w:p w14:paraId="38E77C88"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Inteligența artificială</w:t>
      </w:r>
    </w:p>
    <w:p w14:paraId="23A146B9"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Părțile au reluat discuțiile cu privire la transpunerea în realitate a principiilor comune în materie de IA și au convenit să elaboreze o foaie de parcurs comună privind instrumentele de evaluare și măsurare pentru o IA fiabilă și în materie de gestionare a riscurilor.</w:t>
      </w:r>
    </w:p>
    <w:p w14:paraId="7D22EE76"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Guvernanța platformelor</w:t>
      </w:r>
    </w:p>
    <w:p w14:paraId="40231B1B" w14:textId="69E27A10"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UE și SUA și-au reafirmat, de asemenea, sprijinul pentru un internet deschis, global, interoperabil, fiabil și sigur, în conformitate cu </w:t>
      </w:r>
      <w:hyperlink r:id="rId53" w:history="1">
        <w:r w:rsidRPr="00C92074">
          <w:rPr>
            <w:rStyle w:val="Hyperlink"/>
            <w:rFonts w:cs="Arial"/>
            <w:color w:val="004494"/>
          </w:rPr>
          <w:t>Declarația privind viitorul internetului</w:t>
        </w:r>
      </w:hyperlink>
      <w:hyperlink r:id="rId54" w:history="1"/>
      <w:r w:rsidRPr="00C92074">
        <w:rPr>
          <w:rFonts w:ascii="Verdana" w:hAnsi="Verdana"/>
          <w:color w:val="404040"/>
          <w:sz w:val="18"/>
          <w:szCs w:val="18"/>
        </w:rPr>
        <w:t> și cu Declarația privind </w:t>
      </w:r>
      <w:hyperlink r:id="rId55" w:history="1">
        <w:r w:rsidRPr="00C92074">
          <w:rPr>
            <w:rStyle w:val="Hyperlink"/>
            <w:rFonts w:cs="Arial"/>
            <w:color w:val="004494"/>
          </w:rPr>
          <w:t>drepturile și principiile digitale europene</w:t>
        </w:r>
      </w:hyperlink>
      <w:hyperlink r:id="rId56" w:history="1"/>
      <w:r w:rsidRPr="00C92074">
        <w:rPr>
          <w:rFonts w:ascii="Verdana" w:hAnsi="Verdana"/>
          <w:color w:val="404040"/>
          <w:sz w:val="18"/>
          <w:szCs w:val="18"/>
        </w:rPr>
        <w:t>. În plus, UE și SUA au convenit să își consolideze cooperarea cu privire la principalele aspecte ale guvernanței platformelor.</w:t>
      </w:r>
    </w:p>
    <w:p w14:paraId="1DD3A690"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Accesul IMM-urilor la tehnologie</w:t>
      </w:r>
    </w:p>
    <w:p w14:paraId="5BA9AE4A" w14:textId="3A5B4928"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UE și SUA au publicat astăzi un </w:t>
      </w:r>
      <w:hyperlink r:id="rId57" w:history="1">
        <w:r w:rsidRPr="00C92074">
          <w:rPr>
            <w:rStyle w:val="Hyperlink"/>
            <w:rFonts w:cs="Arial"/>
            <w:color w:val="004494"/>
          </w:rPr>
          <w:t>ghid comun de bune practici</w:t>
        </w:r>
      </w:hyperlink>
      <w:hyperlink r:id="rId58" w:history="1"/>
      <w:r w:rsidRPr="00C92074">
        <w:rPr>
          <w:rFonts w:ascii="Verdana" w:hAnsi="Verdana"/>
          <w:color w:val="404040"/>
          <w:sz w:val="18"/>
          <w:szCs w:val="18"/>
        </w:rPr>
        <w:t>, care conține resurse privind modul în care IMM-urile pot deveni mai sigure din punct de vedere cibernetic.</w:t>
      </w:r>
    </w:p>
    <w:p w14:paraId="17902DC5"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Aspecte ale comerțului și tehnologiei care sunt legate de mediu și de climă</w:t>
      </w:r>
    </w:p>
    <w:p w14:paraId="11388CBA" w14:textId="716C7A8C"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CCT are ca obiectiv general promovarea durabilității. În acest spirit, miniștrii au convenit să abordeze, în cadrul lucrărilor consiliului, aspectele legate de comerț, dar și de mediu și climă, inclusiv privind promovarea unei mai bune înțelegeri a rolului pe care îl poate juca comerțul în facilitarea diseminării bunurilor și serviciilor de mediu; un alt aspect abordat a constat în asigurarea unei cooperări mai strânse în domeniul achizițiilor publice verzi și elaborarea unor metodologii comune pentru stabilirea amprentei de carbon.</w:t>
      </w:r>
    </w:p>
    <w:p w14:paraId="4916206C" w14:textId="77777777" w:rsidR="00496A20" w:rsidRDefault="00496A20" w:rsidP="00C92074">
      <w:pPr>
        <w:pStyle w:val="NormalWeb"/>
        <w:spacing w:before="120" w:beforeAutospacing="0" w:after="0" w:afterAutospacing="0"/>
        <w:rPr>
          <w:rStyle w:val="Strong"/>
          <w:color w:val="404040"/>
        </w:rPr>
      </w:pPr>
    </w:p>
    <w:p w14:paraId="417B6ADA"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Bariere comerciale</w:t>
      </w:r>
    </w:p>
    <w:p w14:paraId="36BEF846"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Miniștrii au convenit să colaboreze pentru a găsi soluții care să contribuie la intensificarea comerțului și a investițiilor transatlantice, inclusiv prin sprijinirea cooperării în domeniul achizițiilor publice și al evaluării conformității, precum și prin schimburi privind noile bariere care ar putea apărea în calea comerțului, atât la nivel bilateral, cât și în relația cu țările terțe. Miniștrii au convenit, de asemenea, să își coordoneze eforturile pentru a aborda politicile care nu se bazează pe piață, încercând, în același timp, să evite consecințele colaterale reciproce.</w:t>
      </w:r>
    </w:p>
    <w:p w14:paraId="57476F6B" w14:textId="77777777" w:rsidR="009E18B2" w:rsidRPr="00C92074" w:rsidRDefault="009E18B2" w:rsidP="00C92074">
      <w:pPr>
        <w:rPr>
          <w:b/>
        </w:rPr>
      </w:pPr>
      <w:r w:rsidRPr="00C92074">
        <w:rPr>
          <w:b/>
        </w:rPr>
        <w:t>Context</w:t>
      </w:r>
    </w:p>
    <w:p w14:paraId="6A8A3B7A" w14:textId="2B36E332"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Uniunea Europeană și Statele Unite au înființat Consiliul UE-SUA pentru comerț și tehnologie (CCT) în cadrul reuniunii lor de la Bruxelles din 15 iunie 2021. CCT este un forum în cadrul căruia Statele Unite și Uniunea Europeană își coordonează abordările referitoare la aspecte de importanță majoră din domeniul comerțului și tehnologiei și aprofundează cooperarea transatlantică în aceste domenii, pe baza valorilor democratice comune. Reuniunea inaugurală a CCT a avut loc la 29 septembrie 2021. În urma reuniunii, au fost înființate </w:t>
      </w:r>
      <w:hyperlink r:id="rId59" w:history="1">
        <w:r w:rsidRPr="00C92074">
          <w:rPr>
            <w:rStyle w:val="Hyperlink"/>
            <w:rFonts w:cs="Arial"/>
            <w:color w:val="004494"/>
          </w:rPr>
          <w:t>10 grupuri de lucru</w:t>
        </w:r>
      </w:hyperlink>
      <w:r w:rsidRPr="00C92074">
        <w:rPr>
          <w:rFonts w:ascii="Verdana" w:hAnsi="Verdana"/>
          <w:color w:val="404040"/>
          <w:sz w:val="18"/>
          <w:szCs w:val="18"/>
        </w:rPr>
        <w:t> care se vor consacra unor subiecte precum standardele, inteligența artificială, semiconductorii, controlul exporturilor și provocările comerciale mondiale. Următoarea reuniune a CCT este planificată să aibă loc înainte de sfârșitul anului 2022 în Statele Unite ale Americii.</w:t>
      </w:r>
    </w:p>
    <w:p w14:paraId="5418AED4" w14:textId="77777777" w:rsidR="009E18B2" w:rsidRPr="00C92074" w:rsidRDefault="009E18B2" w:rsidP="00C92074">
      <w:pPr>
        <w:rPr>
          <w:b/>
        </w:rPr>
      </w:pPr>
      <w:r w:rsidRPr="00C92074">
        <w:rPr>
          <w:b/>
        </w:rPr>
        <w:t>Pentru informații suplimentare</w:t>
      </w:r>
    </w:p>
    <w:p w14:paraId="51F7F05A" w14:textId="77777777" w:rsidR="009E18B2" w:rsidRPr="00C92074" w:rsidRDefault="00A53D90" w:rsidP="00C92074">
      <w:pPr>
        <w:pStyle w:val="NormalWeb"/>
        <w:spacing w:before="120" w:beforeAutospacing="0" w:after="0" w:afterAutospacing="0"/>
        <w:rPr>
          <w:rFonts w:ascii="Verdana" w:hAnsi="Verdana"/>
          <w:color w:val="404040"/>
          <w:sz w:val="18"/>
          <w:szCs w:val="18"/>
        </w:rPr>
      </w:pPr>
      <w:hyperlink r:id="rId60" w:history="1">
        <w:r w:rsidR="009E18B2" w:rsidRPr="00C92074">
          <w:rPr>
            <w:rStyle w:val="Hyperlink"/>
            <w:rFonts w:cs="Arial"/>
            <w:color w:val="004494"/>
          </w:rPr>
          <w:t>Declarația comună a CCT de la Paris-Saclay</w:t>
        </w:r>
      </w:hyperlink>
    </w:p>
    <w:p w14:paraId="2FCC97C5" w14:textId="5B125EF1" w:rsidR="009E18B2" w:rsidRPr="00C92074" w:rsidRDefault="00A53D90" w:rsidP="00C92074">
      <w:pPr>
        <w:pStyle w:val="NormalWeb"/>
        <w:spacing w:before="120" w:beforeAutospacing="0" w:after="0" w:afterAutospacing="0"/>
        <w:rPr>
          <w:rFonts w:ascii="Verdana" w:hAnsi="Verdana"/>
          <w:color w:val="404040"/>
          <w:sz w:val="18"/>
          <w:szCs w:val="18"/>
        </w:rPr>
      </w:pPr>
      <w:hyperlink r:id="rId61" w:history="1">
        <w:r w:rsidR="009E18B2" w:rsidRPr="00C92074">
          <w:rPr>
            <w:rStyle w:val="Hyperlink"/>
            <w:rFonts w:cs="Arial"/>
            <w:color w:val="004494"/>
          </w:rPr>
          <w:t>Hub de informații privind CCT</w:t>
        </w:r>
      </w:hyperlink>
      <w:hyperlink r:id="rId62" w:history="1"/>
    </w:p>
    <w:p w14:paraId="56E729B2" w14:textId="77777777" w:rsidR="009E18B2" w:rsidRPr="00C92074" w:rsidRDefault="00A53D90" w:rsidP="00C92074">
      <w:pPr>
        <w:pStyle w:val="NormalWeb"/>
        <w:spacing w:before="120" w:beforeAutospacing="0" w:after="0" w:afterAutospacing="0"/>
        <w:rPr>
          <w:rFonts w:ascii="Verdana" w:hAnsi="Verdana"/>
          <w:color w:val="404040"/>
          <w:sz w:val="18"/>
          <w:szCs w:val="18"/>
        </w:rPr>
      </w:pPr>
      <w:hyperlink r:id="rId63" w:history="1">
        <w:r w:rsidR="009E18B2" w:rsidRPr="00C92074">
          <w:rPr>
            <w:rStyle w:val="Hyperlink"/>
            <w:rFonts w:cs="Arial"/>
            <w:color w:val="004494"/>
          </w:rPr>
          <w:t>Fișă informativă privind reuniunea CCT de la Paris-Saclay</w:t>
        </w:r>
      </w:hyperlink>
    </w:p>
    <w:p w14:paraId="7D37764A" w14:textId="025ACAB7" w:rsidR="009E18B2" w:rsidRPr="00C92074" w:rsidRDefault="00A53D90" w:rsidP="00C92074">
      <w:pPr>
        <w:pStyle w:val="NormalWeb"/>
        <w:spacing w:before="120" w:beforeAutospacing="0" w:after="0" w:afterAutospacing="0"/>
        <w:rPr>
          <w:rFonts w:ascii="Verdana" w:hAnsi="Verdana"/>
          <w:color w:val="404040"/>
          <w:sz w:val="18"/>
          <w:szCs w:val="18"/>
        </w:rPr>
      </w:pPr>
      <w:hyperlink r:id="rId64" w:history="1">
        <w:r w:rsidR="009E18B2" w:rsidRPr="00C92074">
          <w:rPr>
            <w:rStyle w:val="Hyperlink"/>
            <w:rFonts w:cs="Arial"/>
            <w:color w:val="004494"/>
          </w:rPr>
          <w:t>Fișă informativă detaliată privind reuniunea CCT de la Paris-Saclay</w:t>
        </w:r>
      </w:hyperlink>
    </w:p>
    <w:p w14:paraId="53C1F2E9"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lastRenderedPageBreak/>
        <w:t>Reuniuni anterioare ale CCT și linkuri utile</w:t>
      </w:r>
    </w:p>
    <w:p w14:paraId="5290C290" w14:textId="3071AF06" w:rsidR="009E18B2" w:rsidRPr="00C92074" w:rsidRDefault="00A53D90" w:rsidP="00C92074">
      <w:pPr>
        <w:pStyle w:val="NormalWeb"/>
        <w:spacing w:before="120" w:beforeAutospacing="0" w:after="0" w:afterAutospacing="0"/>
        <w:rPr>
          <w:rFonts w:ascii="Verdana" w:hAnsi="Verdana"/>
          <w:color w:val="404040"/>
          <w:sz w:val="18"/>
          <w:szCs w:val="18"/>
        </w:rPr>
      </w:pPr>
      <w:hyperlink r:id="rId65" w:history="1">
        <w:r w:rsidR="009E18B2" w:rsidRPr="00C92074">
          <w:rPr>
            <w:rStyle w:val="Hyperlink"/>
            <w:rFonts w:cs="Arial"/>
            <w:color w:val="004494"/>
          </w:rPr>
          <w:t>UE și SUA lansează CCT – comunicat de presă</w:t>
        </w:r>
      </w:hyperlink>
      <w:hyperlink r:id="rId66" w:history="1"/>
    </w:p>
    <w:p w14:paraId="1684FA10" w14:textId="77777777" w:rsidR="009E18B2" w:rsidRPr="00C92074" w:rsidRDefault="00A53D90" w:rsidP="00C92074">
      <w:pPr>
        <w:pStyle w:val="NormalWeb"/>
        <w:spacing w:before="120" w:beforeAutospacing="0" w:after="0" w:afterAutospacing="0"/>
        <w:rPr>
          <w:rFonts w:ascii="Verdana" w:hAnsi="Verdana"/>
          <w:color w:val="404040"/>
          <w:sz w:val="18"/>
          <w:szCs w:val="18"/>
        </w:rPr>
      </w:pPr>
      <w:hyperlink r:id="rId67" w:history="1">
        <w:r w:rsidR="009E18B2" w:rsidRPr="00C92074">
          <w:rPr>
            <w:rStyle w:val="Hyperlink"/>
            <w:rFonts w:cs="Arial"/>
            <w:color w:val="004494"/>
          </w:rPr>
          <w:t>Fișă informativă privind reuniunea inaugurală a CCT</w:t>
        </w:r>
      </w:hyperlink>
    </w:p>
    <w:p w14:paraId="0679F2EF" w14:textId="145452A6" w:rsidR="009E18B2" w:rsidRPr="00C92074" w:rsidRDefault="00A53D90" w:rsidP="00C92074">
      <w:pPr>
        <w:pStyle w:val="NormalWeb"/>
        <w:spacing w:before="120" w:beforeAutospacing="0" w:after="0" w:afterAutospacing="0"/>
        <w:rPr>
          <w:rFonts w:ascii="Verdana" w:hAnsi="Verdana"/>
          <w:color w:val="404040"/>
          <w:sz w:val="18"/>
          <w:szCs w:val="18"/>
        </w:rPr>
      </w:pPr>
      <w:hyperlink r:id="rId68" w:history="1">
        <w:r w:rsidR="009E18B2" w:rsidRPr="00C92074">
          <w:rPr>
            <w:rStyle w:val="Hyperlink"/>
            <w:rFonts w:cs="Arial"/>
            <w:color w:val="004494"/>
          </w:rPr>
          <w:t>Declarație comună cu ocazia reuniunii inaugurale a CCT</w:t>
        </w:r>
      </w:hyperlink>
      <w:hyperlink r:id="rId69" w:history="1"/>
    </w:p>
    <w:p w14:paraId="0F697A5E" w14:textId="01F35924" w:rsidR="009E18B2" w:rsidRPr="00C92074" w:rsidRDefault="00A53D90" w:rsidP="00C92074">
      <w:pPr>
        <w:pStyle w:val="NormalWeb"/>
        <w:spacing w:before="120" w:beforeAutospacing="0" w:after="0" w:afterAutospacing="0"/>
        <w:rPr>
          <w:rFonts w:ascii="Verdana" w:hAnsi="Verdana"/>
          <w:color w:val="404040"/>
          <w:sz w:val="18"/>
          <w:szCs w:val="18"/>
        </w:rPr>
      </w:pPr>
      <w:hyperlink r:id="rId70" w:history="1">
        <w:r w:rsidR="009E18B2" w:rsidRPr="00C92074">
          <w:rPr>
            <w:rStyle w:val="Hyperlink"/>
            <w:rFonts w:cs="Arial"/>
            <w:color w:val="004494"/>
          </w:rPr>
          <w:t>Platforma Futurium a CCT</w:t>
        </w:r>
      </w:hyperlink>
      <w:hyperlink r:id="rId71" w:history="1"/>
    </w:p>
    <w:p w14:paraId="5C881CD2" w14:textId="77777777" w:rsidR="009E18B2" w:rsidRPr="00C92074" w:rsidRDefault="00A53D90" w:rsidP="00C92074">
      <w:pPr>
        <w:pStyle w:val="NormalWeb"/>
        <w:spacing w:before="120" w:beforeAutospacing="0" w:after="0" w:afterAutospacing="0"/>
        <w:rPr>
          <w:rFonts w:ascii="Verdana" w:hAnsi="Verdana"/>
          <w:color w:val="404040"/>
          <w:sz w:val="18"/>
          <w:szCs w:val="18"/>
        </w:rPr>
      </w:pPr>
      <w:hyperlink r:id="rId72" w:history="1">
        <w:r w:rsidR="009E18B2" w:rsidRPr="00C92074">
          <w:rPr>
            <w:rStyle w:val="Hyperlink"/>
            <w:rFonts w:cs="Arial"/>
            <w:color w:val="004494"/>
          </w:rPr>
          <w:t>Relațiile comerciale UE-SUA – informații generale</w:t>
        </w:r>
      </w:hyperlink>
    </w:p>
    <w:p w14:paraId="53A432CD" w14:textId="193C77AC" w:rsidR="009E18B2" w:rsidRPr="00C92074" w:rsidRDefault="009E18B2" w:rsidP="00C92074">
      <w:pPr>
        <w:pStyle w:val="separatorarticole"/>
      </w:pPr>
      <w:r w:rsidRPr="00C92074">
        <w:t>*</w:t>
      </w:r>
    </w:p>
    <w:p w14:paraId="0963466B" w14:textId="55E5D65E" w:rsidR="009E18B2" w:rsidRPr="00C92074" w:rsidRDefault="009E18B2" w:rsidP="00C92074">
      <w:pPr>
        <w:pStyle w:val="TitluArticolinINFOUE"/>
        <w:rPr>
          <w:lang w:eastAsia="ro-RO"/>
        </w:rPr>
      </w:pPr>
      <w:bookmarkStart w:id="166" w:name="_Toc104197294"/>
      <w:r w:rsidRPr="00C92074">
        <w:t>Primele state membre se angajează să aloce aproximativ 270 de milioane EUR pentru punerea în aplicare a inițiativei ALMA</w:t>
      </w:r>
      <w:bookmarkEnd w:id="166"/>
    </w:p>
    <w:p w14:paraId="40911A3D" w14:textId="77777777" w:rsidR="009E18B2" w:rsidRPr="00C92074" w:rsidRDefault="009E18B2" w:rsidP="00C92074">
      <w:pPr>
        <w:pStyle w:val="ecl-page-header-standardiseddescription"/>
        <w:shd w:val="clear" w:color="auto" w:fill="FFFFFF"/>
        <w:spacing w:before="120" w:beforeAutospacing="0" w:after="0" w:afterAutospacing="0"/>
        <w:rPr>
          <w:rFonts w:ascii="Verdana" w:hAnsi="Verdana" w:cs="Arial"/>
          <w:color w:val="404040"/>
          <w:sz w:val="18"/>
          <w:szCs w:val="18"/>
        </w:rPr>
      </w:pPr>
      <w:r w:rsidRPr="00C92074">
        <w:rPr>
          <w:rFonts w:ascii="Verdana" w:hAnsi="Verdana" w:cs="Arial"/>
          <w:color w:val="404040"/>
          <w:sz w:val="18"/>
          <w:szCs w:val="18"/>
        </w:rPr>
        <w:t>Primele state membre și-au exprimat angajamentul de a pune în aplicare noua inițiativă ALMA a Comisiei („Aim, Learn, Master, Achieve”) pentru a sprijini tinerii defavorizați să își găsească locul pe piața muncii sau să își continue educația.</w:t>
      </w:r>
    </w:p>
    <w:p w14:paraId="6C569342" w14:textId="4873628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Cu ocazia unui </w:t>
      </w:r>
      <w:hyperlink r:id="rId73" w:history="1">
        <w:r w:rsidRPr="00C92074">
          <w:rPr>
            <w:rStyle w:val="Hyperlink"/>
            <w:rFonts w:cs="Arial"/>
            <w:color w:val="004494"/>
          </w:rPr>
          <w:t>eveniment privind ocuparea forței de muncă în rândul tinerilor</w:t>
        </w:r>
      </w:hyperlink>
      <w:r w:rsidRPr="00C92074">
        <w:rPr>
          <w:rFonts w:ascii="Verdana" w:hAnsi="Verdana"/>
          <w:color w:val="404040"/>
          <w:sz w:val="18"/>
          <w:szCs w:val="18"/>
        </w:rPr>
        <w:t> organizat de Comisie săptămâna trecută, s-a anunțat că, până în prezent, mai mult de jumătate dintre statele membre s-au angajat să pună în aplicare inițiativa ALMA în țările lor. În plus, opt state membre s-au angajat deja să aloce aproximativ 270 de milioane EUR pentru inițiativa ALMA în cadrul programelor lor din cadrul Fondului social european (FSE+), în conformitate cu estimările actuale. Se preconizează că vor urma mai multe angajamente, ceea ce va permite tinerilor din întreaga Europă să beneficieze de această nouă inițiativă.</w:t>
      </w:r>
    </w:p>
    <w:p w14:paraId="505C3BBE" w14:textId="043FDCEB"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Margaritis </w:t>
      </w:r>
      <w:r w:rsidRPr="00C92074">
        <w:rPr>
          <w:rStyle w:val="Strong"/>
          <w:color w:val="404040"/>
        </w:rPr>
        <w:t>Schinas</w:t>
      </w:r>
      <w:r w:rsidRPr="00C92074">
        <w:rPr>
          <w:rFonts w:ascii="Verdana" w:hAnsi="Verdana"/>
          <w:color w:val="404040"/>
          <w:sz w:val="18"/>
          <w:szCs w:val="18"/>
        </w:rPr>
        <w:t>, vicepreședintele pentru promovarea modului nostru de viață european, a declarat:</w:t>
      </w:r>
      <w:r w:rsidRPr="00C92074">
        <w:rPr>
          <w:rStyle w:val="Emphasis"/>
          <w:color w:val="404040"/>
        </w:rPr>
        <w:t> </w:t>
      </w:r>
      <w:r w:rsidRPr="00C92074">
        <w:rPr>
          <w:rFonts w:ascii="Verdana" w:hAnsi="Verdana"/>
          <w:color w:val="404040"/>
          <w:sz w:val="18"/>
          <w:szCs w:val="18"/>
        </w:rPr>
        <w:t>„</w:t>
      </w:r>
      <w:r w:rsidRPr="00C92074">
        <w:rPr>
          <w:rStyle w:val="Emphasis"/>
          <w:color w:val="404040"/>
        </w:rPr>
        <w:t>Cu ALMA, dorim să ajutăm tinerii să își găsească drumul în viață și să reușească acolo unde sistemul i-a dezamăgit până acum</w:t>
      </w:r>
      <w:r w:rsidRPr="00C92074">
        <w:rPr>
          <w:rFonts w:ascii="Verdana" w:hAnsi="Verdana"/>
          <w:color w:val="404040"/>
          <w:sz w:val="18"/>
          <w:szCs w:val="18"/>
        </w:rPr>
        <w:t>.</w:t>
      </w:r>
      <w:r w:rsidRPr="00C92074">
        <w:rPr>
          <w:rStyle w:val="Emphasis"/>
          <w:color w:val="404040"/>
        </w:rPr>
        <w:t> Este vorba despre apropierea Europei de societate, de oferirea posibilității de a obține experiență profesională, de îmbunătățirea ocupării forței de muncă în rândul tinerilor și a perspectivelor de viață pentru tinerii europeni. Tinerii sunt speranța prezentului nostru, cei care vor face posibil un viitor mai bun.”</w:t>
      </w:r>
    </w:p>
    <w:p w14:paraId="7D6CD018" w14:textId="4047DE82"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Nicolas </w:t>
      </w:r>
      <w:r w:rsidRPr="00C92074">
        <w:rPr>
          <w:rStyle w:val="Strong"/>
          <w:color w:val="404040"/>
        </w:rPr>
        <w:t>Schmit</w:t>
      </w:r>
      <w:r w:rsidRPr="00C92074">
        <w:rPr>
          <w:rFonts w:ascii="Verdana" w:hAnsi="Verdana"/>
          <w:color w:val="404040"/>
          <w:sz w:val="18"/>
          <w:szCs w:val="18"/>
        </w:rPr>
        <w:t>, comisarul pentru locuri de muncă și drepturi sociale, a declarat: „</w:t>
      </w:r>
      <w:r w:rsidRPr="00C92074">
        <w:rPr>
          <w:rStyle w:val="Emphasis"/>
          <w:color w:val="404040"/>
        </w:rPr>
        <w:t>UE oferă sprijin tuturor tinerilor și în special celor care se confruntă cu dificultăți. Participând la ALMA, tinerii defavorizați vor câștiga încredere și convingerea că pot avea succes în viață. Comisia este foarte hotărâtă să asigure succesul ALMA.”</w:t>
      </w:r>
    </w:p>
    <w:p w14:paraId="52783462" w14:textId="202FEC4F" w:rsidR="009E18B2" w:rsidRPr="00C92074" w:rsidRDefault="00496A20" w:rsidP="00C92074">
      <w:pPr>
        <w:pStyle w:val="NormalWeb"/>
        <w:spacing w:before="120" w:beforeAutospacing="0" w:after="0" w:afterAutospacing="0"/>
        <w:rPr>
          <w:rFonts w:ascii="Verdana" w:hAnsi="Verdana"/>
          <w:color w:val="404040"/>
          <w:sz w:val="18"/>
          <w:szCs w:val="18"/>
        </w:rPr>
      </w:pPr>
      <w:r w:rsidRPr="00C92074">
        <w:rPr>
          <w:rFonts w:ascii="Verdana" w:hAnsi="Verdana"/>
          <w:noProof/>
          <w:sz w:val="18"/>
          <w:szCs w:val="18"/>
          <w:lang w:val="ro-RO" w:eastAsia="ro-RO"/>
        </w:rPr>
        <w:drawing>
          <wp:anchor distT="0" distB="0" distL="114300" distR="114300" simplePos="0" relativeHeight="252094464" behindDoc="0" locked="0" layoutInCell="1" allowOverlap="1" wp14:anchorId="07513D54" wp14:editId="439F2417">
            <wp:simplePos x="0" y="0"/>
            <wp:positionH relativeFrom="column">
              <wp:posOffset>-6350</wp:posOffset>
            </wp:positionH>
            <wp:positionV relativeFrom="paragraph">
              <wp:posOffset>52705</wp:posOffset>
            </wp:positionV>
            <wp:extent cx="2181225" cy="1459285"/>
            <wp:effectExtent l="0" t="0" r="0" b="7620"/>
            <wp:wrapSquare wrapText="bothSides"/>
            <wp:docPr id="34" name="Picture 34" descr="fonduri tineri defavorizați 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nduri tineri defavorizați ALMA"/>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81225" cy="1459285"/>
                    </a:xfrm>
                    <a:prstGeom prst="rect">
                      <a:avLst/>
                    </a:prstGeom>
                    <a:noFill/>
                    <a:ln>
                      <a:noFill/>
                    </a:ln>
                  </pic:spPr>
                </pic:pic>
              </a:graphicData>
            </a:graphic>
          </wp:anchor>
        </w:drawing>
      </w:r>
      <w:r w:rsidR="009E18B2" w:rsidRPr="00C92074">
        <w:rPr>
          <w:rFonts w:ascii="Verdana" w:hAnsi="Verdana"/>
          <w:color w:val="404040"/>
          <w:sz w:val="18"/>
          <w:szCs w:val="18"/>
        </w:rPr>
        <w:t>În cadrul evenimentului care a avut loc la 12 mai, reprezentanți ai guvernului, precum și reprezentanți ai Organizației Internaționale a Muncii, ai partenerilor sociali, ai întreprinderilor și ai serviciilor publice de ocupare a forței de muncă au discutat despre provocările și oportunitățile legate de ocuparea forței de muncă în rândul tinerilor. De asemenea, aceștia au făcut schimb de opinii cu privire la modul în care se poate realiza succesul noului program de mobilitate pentru incluziune socială, ALMA. Tineri din Belgia, Cehia, Germania, Irlanda, Italia, Polonia, Spania și Suedia au venit la Bruxelles pentru a-și împărtăși poveștile despre modul în care au beneficiat de programe similare în cadrul ALMA și despre efectul transformator pe care această inițiativă l-a avut asupra vieții lor.</w:t>
      </w:r>
    </w:p>
    <w:p w14:paraId="687E839E"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Context</w:t>
      </w:r>
    </w:p>
    <w:p w14:paraId="588C3371" w14:textId="355031B0"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În </w:t>
      </w:r>
      <w:hyperlink r:id="rId75" w:history="1">
        <w:r w:rsidRPr="00C92074">
          <w:rPr>
            <w:rStyle w:val="Hyperlink"/>
            <w:rFonts w:cs="Arial"/>
            <w:color w:val="004494"/>
          </w:rPr>
          <w:t>discursul său privind starea Uniunii</w:t>
        </w:r>
      </w:hyperlink>
      <w:hyperlink r:id="rId76" w:history="1"/>
      <w:r w:rsidRPr="00C92074">
        <w:rPr>
          <w:rFonts w:ascii="Verdana" w:hAnsi="Verdana"/>
          <w:color w:val="404040"/>
          <w:sz w:val="18"/>
          <w:szCs w:val="18"/>
        </w:rPr>
        <w:t>, președinta Comisiei, Ursula </w:t>
      </w:r>
      <w:r w:rsidRPr="00C92074">
        <w:rPr>
          <w:rStyle w:val="Strong"/>
          <w:color w:val="404040"/>
        </w:rPr>
        <w:t>von der Leyen</w:t>
      </w:r>
      <w:r w:rsidRPr="00C92074">
        <w:rPr>
          <w:rFonts w:ascii="Verdana" w:hAnsi="Verdana"/>
          <w:color w:val="404040"/>
          <w:sz w:val="18"/>
          <w:szCs w:val="18"/>
        </w:rPr>
        <w:t>, a anunțat noua inițiativă ALMA care urmează să fie lansată în timpul </w:t>
      </w:r>
      <w:hyperlink r:id="rId77" w:history="1">
        <w:r w:rsidRPr="00C92074">
          <w:rPr>
            <w:rStyle w:val="Hyperlink"/>
            <w:rFonts w:cs="Arial"/>
            <w:color w:val="004494"/>
          </w:rPr>
          <w:t>Anului european al tineretului 2022</w:t>
        </w:r>
      </w:hyperlink>
      <w:hyperlink r:id="rId78" w:history="1"/>
      <w:r w:rsidRPr="00C92074">
        <w:rPr>
          <w:rFonts w:ascii="Verdana" w:hAnsi="Verdana"/>
          <w:color w:val="404040"/>
          <w:sz w:val="18"/>
          <w:szCs w:val="18"/>
        </w:rPr>
        <w:t>. Domnia sa a declarat: </w:t>
      </w:r>
      <w:r w:rsidRPr="00C92074">
        <w:rPr>
          <w:rStyle w:val="Emphasis"/>
          <w:color w:val="404040"/>
        </w:rPr>
        <w:t>„Europa are nevoie de toți tinerii săi. Trebuie să ne intensificăm sprijinul pentru cei care nu își găsesc locul în sistem – cei care nu au un loc de muncă, cei care nu au beneficiat de educație sau de formare. Pentru ei, vom institui un nou program, ALMA.”</w:t>
      </w:r>
    </w:p>
    <w:p w14:paraId="159E573C"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lastRenderedPageBreak/>
        <w:t>Alma este o inițiativă de incluziune activă pentru tinerii defavorizați (cu vârste cuprinse între 18 și 30 de ani) care nu sunt încadrați profesional și nu urmează niciun program educațional sau de formare. Însoțită de o formare intensivă înainte și după șederea în străinătate, aceasta va oferi participanților o experiență de învățare supravegheată în domeniul muncii pentru o perioadă de 2-6 luni într-un alt stat membru al UE.</w:t>
      </w:r>
    </w:p>
    <w:p w14:paraId="768562D3"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Obiectivul ALMA este de a îmbunătăți competențele, cunoștințele și experiența participanților, astfel încât aceștia să poată avea acces la piața muncii sau la educație după ce se întorc în țara lor de origine și de a le oferi posibilitatea să creeze noi legături în întreaga Europă.</w:t>
      </w:r>
    </w:p>
    <w:p w14:paraId="762D242C" w14:textId="6AD134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Statele membre sunt încurajate să aloce resurse, după caz, din programele </w:t>
      </w:r>
      <w:hyperlink r:id="rId79" w:history="1">
        <w:r w:rsidRPr="00C92074">
          <w:rPr>
            <w:rStyle w:val="Hyperlink"/>
            <w:rFonts w:cs="Arial"/>
            <w:color w:val="004494"/>
          </w:rPr>
          <w:t>Fondului social european Plus (FSE+)</w:t>
        </w:r>
      </w:hyperlink>
      <w:hyperlink r:id="rId80" w:history="1"/>
      <w:r w:rsidRPr="00C92074">
        <w:rPr>
          <w:rFonts w:ascii="Verdana" w:hAnsi="Verdana"/>
          <w:color w:val="404040"/>
          <w:sz w:val="18"/>
          <w:szCs w:val="18"/>
        </w:rPr>
        <w:t> 2021-2027 pentru a pune în aplicare inițiativa ALMA. În plus, Comisia oferă asistență administrativă pentru a sprijini statele membre în elaborarea și punerea în aplicare a acestei inițiative.</w:t>
      </w:r>
    </w:p>
    <w:p w14:paraId="3CD19F00" w14:textId="683DA665"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Prin această nouă inițiativă, Comisia își reafirmă angajamentul în cadrul </w:t>
      </w:r>
      <w:hyperlink r:id="rId81" w:history="1">
        <w:r w:rsidRPr="00C92074">
          <w:rPr>
            <w:rStyle w:val="Hyperlink"/>
            <w:rFonts w:cs="Arial"/>
            <w:color w:val="004494"/>
          </w:rPr>
          <w:t>Pilonului european al drepturilor sociale</w:t>
        </w:r>
      </w:hyperlink>
      <w:hyperlink r:id="rId82" w:history="1"/>
      <w:r w:rsidRPr="00C92074">
        <w:rPr>
          <w:rFonts w:ascii="Verdana" w:hAnsi="Verdana"/>
          <w:color w:val="404040"/>
          <w:sz w:val="18"/>
          <w:szCs w:val="18"/>
        </w:rPr>
        <w:t> de a combate inegalitățile și de a oferi sprijin activ pentru ocuparea forței de muncă și calificare, în special pentru tinerii defavorizați. ALMA va contribui, de asemenea, la punerea în aplicare a </w:t>
      </w:r>
      <w:hyperlink r:id="rId83" w:history="1">
        <w:r w:rsidRPr="00C92074">
          <w:rPr>
            <w:rStyle w:val="Hyperlink"/>
            <w:rFonts w:cs="Arial"/>
            <w:color w:val="004494"/>
          </w:rPr>
          <w:t>Garanției pentru tineret</w:t>
        </w:r>
      </w:hyperlink>
      <w:r w:rsidRPr="00C92074">
        <w:rPr>
          <w:rFonts w:ascii="Verdana" w:hAnsi="Verdana"/>
          <w:color w:val="404040"/>
          <w:sz w:val="18"/>
          <w:szCs w:val="18"/>
        </w:rPr>
        <w:t>, care a fost consolidată în 2020. Astfel, ALMA va completa programele existente care sprijină mobilitatea tinerilor, cum ar fi </w:t>
      </w:r>
      <w:hyperlink r:id="rId84" w:history="1">
        <w:r w:rsidRPr="00C92074">
          <w:rPr>
            <w:rStyle w:val="Hyperlink"/>
            <w:rFonts w:cs="Arial"/>
            <w:color w:val="004494"/>
          </w:rPr>
          <w:t>Erasmus Plus</w:t>
        </w:r>
      </w:hyperlink>
      <w:hyperlink r:id="rId85" w:history="1"/>
      <w:r w:rsidRPr="00C92074">
        <w:rPr>
          <w:rFonts w:ascii="Verdana" w:hAnsi="Verdana"/>
          <w:color w:val="404040"/>
          <w:sz w:val="18"/>
          <w:szCs w:val="18"/>
        </w:rPr>
        <w:t> sau </w:t>
      </w:r>
      <w:hyperlink r:id="rId86" w:history="1">
        <w:r w:rsidRPr="00C92074">
          <w:rPr>
            <w:rStyle w:val="Hyperlink"/>
            <w:rFonts w:cs="Arial"/>
            <w:color w:val="004494"/>
          </w:rPr>
          <w:t>Corpul european de solidaritate</w:t>
        </w:r>
      </w:hyperlink>
      <w:hyperlink r:id="rId87" w:history="1"/>
      <w:r w:rsidRPr="00C92074">
        <w:rPr>
          <w:rFonts w:ascii="Verdana" w:hAnsi="Verdana"/>
          <w:color w:val="404040"/>
          <w:sz w:val="18"/>
          <w:szCs w:val="18"/>
        </w:rPr>
        <w:t>.</w:t>
      </w:r>
    </w:p>
    <w:p w14:paraId="50CD95F2"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Style w:val="Strong"/>
          <w:color w:val="404040"/>
        </w:rPr>
        <w:t>Pentru informații suplimentare</w:t>
      </w:r>
    </w:p>
    <w:p w14:paraId="79FE41AC" w14:textId="77777777" w:rsidR="009E18B2" w:rsidRPr="00C92074" w:rsidRDefault="00A53D90" w:rsidP="00C92074">
      <w:pPr>
        <w:pStyle w:val="NormalWeb"/>
        <w:spacing w:before="120" w:beforeAutospacing="0" w:after="0" w:afterAutospacing="0"/>
        <w:rPr>
          <w:rFonts w:ascii="Verdana" w:hAnsi="Verdana"/>
          <w:color w:val="404040"/>
          <w:sz w:val="18"/>
          <w:szCs w:val="18"/>
        </w:rPr>
      </w:pPr>
      <w:hyperlink r:id="rId88" w:history="1">
        <w:r w:rsidR="009E18B2" w:rsidRPr="00C92074">
          <w:rPr>
            <w:rStyle w:val="Hyperlink"/>
            <w:rFonts w:cs="Arial"/>
            <w:color w:val="004494"/>
          </w:rPr>
          <w:t>Site-ul ALMA (Aim, Learn, Master, Achieve)</w:t>
        </w:r>
      </w:hyperlink>
    </w:p>
    <w:p w14:paraId="2A2A5EBE" w14:textId="77777777" w:rsidR="009E18B2" w:rsidRPr="00C92074" w:rsidRDefault="00A53D90" w:rsidP="00C92074">
      <w:pPr>
        <w:pStyle w:val="NormalWeb"/>
        <w:spacing w:before="120" w:beforeAutospacing="0" w:after="0" w:afterAutospacing="0"/>
        <w:rPr>
          <w:rFonts w:ascii="Verdana" w:hAnsi="Verdana"/>
          <w:color w:val="404040"/>
          <w:sz w:val="18"/>
          <w:szCs w:val="18"/>
        </w:rPr>
      </w:pPr>
      <w:hyperlink r:id="rId89" w:anchor="navItem-1" w:history="1">
        <w:r w:rsidR="009E18B2" w:rsidRPr="00C92074">
          <w:rPr>
            <w:rStyle w:val="Hyperlink"/>
            <w:rFonts w:cs="Arial"/>
            <w:color w:val="004494"/>
          </w:rPr>
          <w:t>Știri: „Țările UE se angajează să transforme inițiativa ALMA în realitate”</w:t>
        </w:r>
      </w:hyperlink>
    </w:p>
    <w:p w14:paraId="36817138" w14:textId="250ADADE" w:rsidR="009E18B2" w:rsidRPr="00C92074" w:rsidRDefault="00A53D90" w:rsidP="00C92074">
      <w:pPr>
        <w:pStyle w:val="NormalWeb"/>
        <w:spacing w:before="120" w:beforeAutospacing="0" w:after="0" w:afterAutospacing="0"/>
        <w:rPr>
          <w:rFonts w:ascii="Verdana" w:hAnsi="Verdana"/>
          <w:color w:val="404040"/>
          <w:sz w:val="18"/>
          <w:szCs w:val="18"/>
        </w:rPr>
      </w:pPr>
      <w:hyperlink r:id="rId90" w:history="1">
        <w:r w:rsidR="009E18B2" w:rsidRPr="00C92074">
          <w:rPr>
            <w:rStyle w:val="Hyperlink"/>
            <w:rFonts w:cs="Arial"/>
            <w:color w:val="004494"/>
          </w:rPr>
          <w:t>Site-ul Fondului social european Plus (FSE+)</w:t>
        </w:r>
      </w:hyperlink>
      <w:hyperlink r:id="rId91" w:history="1"/>
    </w:p>
    <w:p w14:paraId="1EE15527" w14:textId="20256F66" w:rsidR="009E18B2" w:rsidRPr="00C92074" w:rsidRDefault="00A53D90" w:rsidP="00C92074">
      <w:pPr>
        <w:pStyle w:val="NormalWeb"/>
        <w:spacing w:before="120" w:beforeAutospacing="0" w:after="0" w:afterAutospacing="0"/>
        <w:rPr>
          <w:rFonts w:ascii="Verdana" w:hAnsi="Verdana"/>
          <w:color w:val="404040"/>
          <w:sz w:val="18"/>
          <w:szCs w:val="18"/>
        </w:rPr>
      </w:pPr>
      <w:hyperlink r:id="rId92" w:history="1">
        <w:r w:rsidR="009E18B2" w:rsidRPr="00C92074">
          <w:rPr>
            <w:rStyle w:val="Hyperlink"/>
            <w:rFonts w:cs="Arial"/>
            <w:color w:val="004494"/>
          </w:rPr>
          <w:t>Site-ul Anului european al tineretului</w:t>
        </w:r>
      </w:hyperlink>
      <w:hyperlink r:id="rId93" w:history="1"/>
    </w:p>
    <w:p w14:paraId="5A480D8B" w14:textId="0643B00A" w:rsidR="009E18B2" w:rsidRPr="00C92074" w:rsidRDefault="009E18B2" w:rsidP="00C92074">
      <w:pPr>
        <w:pStyle w:val="separatorarticole"/>
      </w:pPr>
      <w:r w:rsidRPr="00C92074">
        <w:t>*</w:t>
      </w:r>
    </w:p>
    <w:p w14:paraId="7BBF9CC7" w14:textId="77777777" w:rsidR="009E18B2" w:rsidRPr="00C92074" w:rsidRDefault="009E18B2" w:rsidP="00C92074">
      <w:pPr>
        <w:pStyle w:val="TitluArticolinINFOUE"/>
        <w:rPr>
          <w:lang w:eastAsia="ro-RO"/>
        </w:rPr>
      </w:pPr>
      <w:bookmarkStart w:id="167" w:name="_Toc104197295"/>
      <w:r w:rsidRPr="00C92074">
        <w:t>Parteneriate pentru inovarea regională: 63 de regiuni, șapte orașe și patru state membre selectate pentru acțiunea-pilot</w:t>
      </w:r>
      <w:bookmarkEnd w:id="167"/>
    </w:p>
    <w:p w14:paraId="00EE6E2A" w14:textId="77777777" w:rsidR="009E18B2" w:rsidRPr="00C92074" w:rsidRDefault="009E18B2" w:rsidP="00C92074">
      <w:pPr>
        <w:pStyle w:val="ecl-page-header-standardiseddescription"/>
        <w:shd w:val="clear" w:color="auto" w:fill="FFFFFF"/>
        <w:spacing w:before="120" w:beforeAutospacing="0" w:after="0" w:afterAutospacing="0"/>
        <w:rPr>
          <w:rFonts w:ascii="Verdana" w:hAnsi="Verdana" w:cs="Arial"/>
          <w:color w:val="404040"/>
          <w:sz w:val="18"/>
          <w:szCs w:val="18"/>
        </w:rPr>
      </w:pPr>
      <w:r w:rsidRPr="00C92074">
        <w:rPr>
          <w:rFonts w:ascii="Verdana" w:hAnsi="Verdana" w:cs="Arial"/>
          <w:color w:val="404040"/>
          <w:sz w:val="18"/>
          <w:szCs w:val="18"/>
        </w:rPr>
        <w:t>Astăzi, 17 mai, Comisia a anunțat cele 63 de regiuni, șapte orașe și patru state membre selectate în cadrul proiectului-pilot pentru </w:t>
      </w:r>
      <w:hyperlink r:id="rId94" w:history="1">
        <w:r w:rsidRPr="00C92074">
          <w:rPr>
            <w:rStyle w:val="Hyperlink"/>
            <w:rFonts w:cs="Arial"/>
            <w:color w:val="004494"/>
          </w:rPr>
          <w:t>Parteneriatele pentru inovare regională</w:t>
        </w:r>
      </w:hyperlink>
      <w:r w:rsidRPr="00C92074">
        <w:rPr>
          <w:rFonts w:ascii="Verdana" w:hAnsi="Verdana" w:cs="Arial"/>
          <w:color w:val="404040"/>
          <w:sz w:val="18"/>
          <w:szCs w:val="18"/>
        </w:rPr>
        <w:t>, o inițiativă elaborată împreună cu Comitetul Regiunilor. </w:t>
      </w:r>
    </w:p>
    <w:p w14:paraId="1847554C"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Participanții la acțiunea-pilot sunt deschiși să facă schimb de bune practici, precum și să dezvolte în comun și să testeze instrumente de mobilizare a mai multor surse de finanțare și politici și să conecteze programele regionale și naționale la inițiativele UE pentru transformarea verde și cea digitală.</w:t>
      </w:r>
    </w:p>
    <w:p w14:paraId="03A0153C"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Aceste parteneriate contribuie la noua Agendă de inovare pentru Europa, în care inovarea stimulează transformarea pentru sustenabilitate, conectând strategiile locale cu inițiativele de la nivelul UE.</w:t>
      </w:r>
    </w:p>
    <w:p w14:paraId="2F5B635C"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Cererea de propuneri a atras o largă reprezentare a ecosistemului de inovare al UE, state membre precum Slovacia, care participă la nivel național, și o mare varietate de regiuni ale UE, cum ar fi Andaluzia, Azore, Hauts-de-France, Ostrobotnia, Podkarpackie, Egeea de Nord, Emilia Romagna și multe altele. Cererea de propuneri a declanșat, de asemenea, o colaborare și un proces de creare de rețele ascendente, reunind deja numeroși participanți ca parte a rețelelor multiregionale. Aceasta include, de exemplu, regiunea Mării Baltice, instrumentul pentru bioregiuni și un consorțiu extins „Cities 4.0” (Leuven, Bologna, Turku), la care participă, de asemenea, Eindhoven (NL), Espoo (FI) și Cluj-Napoca (RO).</w:t>
      </w:r>
    </w:p>
    <w:p w14:paraId="5FFF7B9D"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Mariya </w:t>
      </w:r>
      <w:r w:rsidRPr="00C92074">
        <w:rPr>
          <w:rStyle w:val="Strong"/>
          <w:color w:val="404040"/>
        </w:rPr>
        <w:t>Gabriel</w:t>
      </w:r>
      <w:r w:rsidRPr="00C92074">
        <w:rPr>
          <w:rFonts w:ascii="Verdana" w:hAnsi="Verdana"/>
          <w:color w:val="404040"/>
          <w:sz w:val="18"/>
          <w:szCs w:val="18"/>
        </w:rPr>
        <w:t>, comisarul pentru inovare, cercetare, cultură, educație și tineret, a declarat</w:t>
      </w:r>
      <w:r w:rsidRPr="00C92074">
        <w:rPr>
          <w:rStyle w:val="Emphasis"/>
          <w:color w:val="404040"/>
        </w:rPr>
        <w:t>: „Putem clădi economii mai puternice, mai curate și societăți mai echitabile numai dacă inovarea se află în centrul agendei politice a UE. Dacă dorim să parcurgem cu succes dubla tranziție verde și digitală, avem nevoie de inovare în fiecare regiune și în fiecare țară, conectându-ne unii cu alții. Aceste parteneriate ne permit să construim punți pentru a facilita sinergiile dintre investiții și soluții inovatoare. Aștept cu interes să văd ideile și abordările inovatoare care vor rezulta din acestea.”</w:t>
      </w:r>
    </w:p>
    <w:p w14:paraId="673622E7"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Comisarul pentru coeziune și reforme, Elisa </w:t>
      </w:r>
      <w:r w:rsidRPr="00C92074">
        <w:rPr>
          <w:rStyle w:val="Strong"/>
          <w:color w:val="404040"/>
        </w:rPr>
        <w:t>Ferreira</w:t>
      </w:r>
      <w:r w:rsidRPr="00C92074">
        <w:rPr>
          <w:rFonts w:ascii="Verdana" w:hAnsi="Verdana"/>
          <w:color w:val="404040"/>
          <w:sz w:val="18"/>
          <w:szCs w:val="18"/>
        </w:rPr>
        <w:t>, a declarat în legătură cu acest subiect: </w:t>
      </w:r>
      <w:r w:rsidRPr="00C92074">
        <w:rPr>
          <w:rStyle w:val="Emphasis"/>
          <w:color w:val="404040"/>
        </w:rPr>
        <w:t xml:space="preserve">„Cooperarea și inovarea sunt ingrediente esențiale pentru dezvoltarea durabilă și rezilientă a regiunilor UE. Toate teritoriile au un potențial de inovare care trebuie exploatat, așadar m-am bucurat să </w:t>
      </w:r>
      <w:r w:rsidRPr="00C92074">
        <w:rPr>
          <w:rStyle w:val="Emphasis"/>
          <w:color w:val="404040"/>
        </w:rPr>
        <w:lastRenderedPageBreak/>
        <w:t>văd un interes atât de ridicat arătat cererii de propuneri. Aștept cu nerăbdare rezultatele proiectului-pilot, cu speranța că va contribui la reducerea decalajului persistent dintre regiuni în materie de inovare, care limitează performanța UE în ansamblu.”</w:t>
      </w:r>
    </w:p>
    <w:p w14:paraId="22E5F533"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Președintele Comitetului European al Regiunilor, Apostolos</w:t>
      </w:r>
      <w:r w:rsidRPr="00C92074">
        <w:rPr>
          <w:rStyle w:val="Strong"/>
          <w:color w:val="404040"/>
        </w:rPr>
        <w:t> </w:t>
      </w:r>
      <w:r w:rsidRPr="00C92074">
        <w:rPr>
          <w:rFonts w:ascii="Verdana" w:hAnsi="Verdana"/>
          <w:color w:val="404040"/>
          <w:sz w:val="18"/>
          <w:szCs w:val="18"/>
        </w:rPr>
        <w:t>Tzitzikostas, a adăugat: </w:t>
      </w:r>
      <w:r w:rsidRPr="00C92074">
        <w:rPr>
          <w:rStyle w:val="Emphasis"/>
          <w:color w:val="404040"/>
        </w:rPr>
        <w:t>„Încurajând inovarea, consolidăm reziliența locală și îmbunătățim capacitatea comunităților noastre locale de a face față situațiilor de urgență, de a proteja cetățenii și de a sprijini economiile locale. În acest context, contăm pe colaborarea între comisarii Ferreira și Gabriel în ceea ce privește parteneriatele pentru inovare regională ca instrument-cheie pentru coordonarea tuturor fondurilor disponibile pentru a disemina inovarea pe teren, punând accentul pe creșterea eficienței energetice și a sustenabilității regiunilor, orașelor și satelor noastre.”</w:t>
      </w:r>
    </w:p>
    <w:p w14:paraId="6AFC73FA" w14:textId="77777777" w:rsidR="009E18B2" w:rsidRPr="00C92074" w:rsidRDefault="009E18B2" w:rsidP="00C92074">
      <w:pPr>
        <w:rPr>
          <w:b/>
        </w:rPr>
      </w:pPr>
      <w:r w:rsidRPr="00C92074">
        <w:rPr>
          <w:b/>
        </w:rPr>
        <w:t>Protocolul operațional al parteneriatelor pentru inovarea regională</w:t>
      </w:r>
    </w:p>
    <w:p w14:paraId="71FA1E7A"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Participanții la proiectul-pilot vor explora noile parteneriate pentru inovare regională bazate pe „Protocolul operațional al parteneriatelor pentru inovarea regională”, un document de orientare inițială publicat </w:t>
      </w:r>
      <w:hyperlink r:id="rId95" w:history="1">
        <w:r w:rsidRPr="00C92074">
          <w:rPr>
            <w:rStyle w:val="Hyperlink"/>
            <w:rFonts w:cs="Arial"/>
            <w:color w:val="004494"/>
          </w:rPr>
          <w:t>astăzi</w:t>
        </w:r>
      </w:hyperlink>
      <w:r w:rsidRPr="00C92074">
        <w:rPr>
          <w:rFonts w:ascii="Verdana" w:hAnsi="Verdana"/>
          <w:color w:val="404040"/>
          <w:sz w:val="18"/>
          <w:szCs w:val="18"/>
        </w:rPr>
        <w:t> de Centrul Comun de Cercetare.</w:t>
      </w:r>
    </w:p>
    <w:p w14:paraId="23701473" w14:textId="5032BDEE"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Protocolul operațional propune o gamă largă de instrumente și mecanisme de guvernanță pentru a îmbunătăți coordonarea politicilor regionale, naționale și ale UE în materie de inovare pentru a pune în aplicare dubla tranziție verde și digitală a Europei și pentru a aborda decalajul în materie de inovare din UE. Un element central al abordării propuse este introducerea misiunilor locale de coordonare a acțiunilor în cadrul unei logici direcționale coerente, care să permită explorarea unor combinații ample de politici pentru inovarea la nivel de sistem.</w:t>
      </w:r>
    </w:p>
    <w:p w14:paraId="1DCD496F" w14:textId="77777777"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În timpul acțiunii-pilot, participanții vor testa aceste instrumente de politică, creând în același timp în comun orientări operaționale. Protocolul operațional și acțiunea-pilot vor promova, de asemenea, bunele practici, vor facilita învățarea prin experimentare și vor sprijini administrațiile publice și ecosistemul mai larg. Acțiunea-pilot nu va avea un impact asupra actualului proces de programare a fondurilor pentru perioada 2021-2027.</w:t>
      </w:r>
    </w:p>
    <w:p w14:paraId="6786F001" w14:textId="77777777" w:rsidR="009E18B2" w:rsidRPr="00C92074" w:rsidRDefault="009E18B2" w:rsidP="00C92074">
      <w:pPr>
        <w:rPr>
          <w:b/>
        </w:rPr>
      </w:pPr>
      <w:r w:rsidRPr="00C92074">
        <w:rPr>
          <w:b/>
        </w:rPr>
        <w:t>Context</w:t>
      </w:r>
    </w:p>
    <w:p w14:paraId="3EB2378C" w14:textId="2C7B2CD3"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Parteneriatele își au originea în</w:t>
      </w:r>
      <w:hyperlink r:id="rId96" w:history="1">
        <w:r w:rsidRPr="00C92074">
          <w:rPr>
            <w:rStyle w:val="Hyperlink"/>
            <w:rFonts w:cs="Arial"/>
            <w:color w:val="004494"/>
          </w:rPr>
          <w:t> viitoarea nouă agendă de inovare pentru Europa</w:t>
        </w:r>
      </w:hyperlink>
      <w:hyperlink r:id="rId97" w:history="1"/>
      <w:r w:rsidRPr="00C92074">
        <w:rPr>
          <w:rFonts w:ascii="Verdana" w:hAnsi="Verdana"/>
          <w:color w:val="404040"/>
          <w:sz w:val="18"/>
          <w:szCs w:val="18"/>
        </w:rPr>
        <w:t>, pentru a contribui la integrarea inițiativelor și a investițiilor la nivelul UE și la nivel național. Acesta este un efort care vizează în mod direct îmbunătățirea ecosistemelor de inovare, care reprezintă un domeniu esențial pentru stimularea performanței Europei în materie de inovare. Obiectivul principal este de a consolida interconectarea ecosistemelor regionale și locale de inovare și de a consolida lanțurile valorice durabile europene și sectoarele </w:t>
      </w:r>
      <w:r w:rsidRPr="00C92074">
        <w:rPr>
          <w:rStyle w:val="Emphasis"/>
          <w:color w:val="404040"/>
        </w:rPr>
        <w:t>deep-tech</w:t>
      </w:r>
      <w:r w:rsidRPr="00C92074">
        <w:rPr>
          <w:rFonts w:ascii="Verdana" w:hAnsi="Verdana"/>
          <w:color w:val="404040"/>
          <w:sz w:val="18"/>
          <w:szCs w:val="18"/>
        </w:rPr>
        <w:t>.</w:t>
      </w:r>
    </w:p>
    <w:p w14:paraId="5609BFE3" w14:textId="65451CAA"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Parteneriatele reprezintă o abordare complementară, care se bazează pe experiența pozitivă a strategiilor de specializare inteligentă. </w:t>
      </w:r>
      <w:hyperlink r:id="rId98" w:history="1">
        <w:r w:rsidRPr="00C92074">
          <w:rPr>
            <w:rStyle w:val="Hyperlink"/>
            <w:rFonts w:cs="Arial"/>
            <w:color w:val="004494"/>
          </w:rPr>
          <w:t>Specializarea inteligentă</w:t>
        </w:r>
      </w:hyperlink>
      <w:r w:rsidRPr="00C92074">
        <w:rPr>
          <w:rFonts w:ascii="Verdana" w:hAnsi="Verdana"/>
          <w:color w:val="404040"/>
          <w:sz w:val="18"/>
          <w:szCs w:val="18"/>
        </w:rPr>
        <w:t> este o abordare localizată, izvorâtă din politica de coeziune a UE, care își propune să identifice domenii strategice de intervenție, bazându-se atât pe analiza punctelor forte și a potențialului economiei, cât și pe un proces de descoperire antreprenorială cu o largă implicare a părților interesate. Specializarea inteligentă se axează pe inovare și are un rol major în sprijinirea cercetării și inovării pentru a asigura o dezvoltare durabilă și rezilientă a tuturor regiunilor din Europa.</w:t>
      </w:r>
    </w:p>
    <w:p w14:paraId="4F1352FD" w14:textId="0C735AA5" w:rsidR="009E18B2" w:rsidRPr="00C92074" w:rsidRDefault="009E18B2"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Teritoriile selectate vor participa fie individual, fie în cadrul a șase rețele diferite de regiuni și orașe din UE. În total, </w:t>
      </w:r>
      <w:hyperlink r:id="rId99" w:history="1">
        <w:r w:rsidRPr="00C92074">
          <w:rPr>
            <w:rStyle w:val="Hyperlink"/>
            <w:rFonts w:cs="Arial"/>
            <w:color w:val="004494"/>
          </w:rPr>
          <w:t>23 de state membre</w:t>
        </w:r>
      </w:hyperlink>
      <w:hyperlink r:id="rId100" w:history="1"/>
      <w:r w:rsidRPr="00C92074">
        <w:rPr>
          <w:rFonts w:ascii="Verdana" w:hAnsi="Verdana"/>
          <w:color w:val="404040"/>
          <w:sz w:val="18"/>
          <w:szCs w:val="18"/>
        </w:rPr>
        <w:t> sunt reprezentate printre participanții la acțiunea-pilot. </w:t>
      </w:r>
      <w:hyperlink r:id="rId101" w:history="1">
        <w:r w:rsidRPr="00C92074">
          <w:rPr>
            <w:rStyle w:val="Hyperlink"/>
            <w:rFonts w:cs="Arial"/>
            <w:color w:val="004494"/>
          </w:rPr>
          <w:t>Cererea de exprimare a interesului</w:t>
        </w:r>
      </w:hyperlink>
      <w:r w:rsidRPr="00C92074">
        <w:rPr>
          <w:rFonts w:ascii="Verdana" w:hAnsi="Verdana"/>
          <w:color w:val="404040"/>
          <w:sz w:val="18"/>
          <w:szCs w:val="18"/>
        </w:rPr>
        <w:t> a fost deschisă în perioada martie-aprilie 2022.</w:t>
      </w:r>
    </w:p>
    <w:p w14:paraId="3363807D" w14:textId="77777777" w:rsidR="009E18B2" w:rsidRPr="00C92074" w:rsidRDefault="009E18B2" w:rsidP="00C92074">
      <w:pPr>
        <w:rPr>
          <w:b/>
        </w:rPr>
      </w:pPr>
      <w:r w:rsidRPr="00C92074">
        <w:rPr>
          <w:b/>
        </w:rPr>
        <w:t>Pentru informații suplimentare</w:t>
      </w:r>
    </w:p>
    <w:p w14:paraId="0B450751" w14:textId="77777777" w:rsidR="009E18B2" w:rsidRPr="00C92074" w:rsidRDefault="00A53D90" w:rsidP="00C92074">
      <w:pPr>
        <w:pStyle w:val="NormalWeb"/>
        <w:spacing w:before="120" w:beforeAutospacing="0" w:after="0" w:afterAutospacing="0"/>
        <w:rPr>
          <w:rFonts w:ascii="Verdana" w:hAnsi="Verdana"/>
          <w:color w:val="404040"/>
          <w:sz w:val="18"/>
          <w:szCs w:val="18"/>
        </w:rPr>
      </w:pPr>
      <w:hyperlink r:id="rId102" w:history="1">
        <w:r w:rsidR="009E18B2" w:rsidRPr="00C92074">
          <w:rPr>
            <w:rStyle w:val="Hyperlink"/>
            <w:rFonts w:cs="Arial"/>
            <w:color w:val="004494"/>
          </w:rPr>
          <w:t>Parteneriate pentru inovarea regională – Platforma de specializare inteligentă</w:t>
        </w:r>
      </w:hyperlink>
    </w:p>
    <w:p w14:paraId="723661F9" w14:textId="40692410" w:rsidR="009E18B2" w:rsidRPr="00C92074" w:rsidRDefault="00A53D90" w:rsidP="00C92074">
      <w:pPr>
        <w:pStyle w:val="NormalWeb"/>
        <w:spacing w:before="120" w:beforeAutospacing="0" w:after="0" w:afterAutospacing="0"/>
        <w:rPr>
          <w:rFonts w:ascii="Verdana" w:hAnsi="Verdana"/>
          <w:color w:val="404040"/>
          <w:sz w:val="18"/>
          <w:szCs w:val="18"/>
        </w:rPr>
      </w:pPr>
      <w:hyperlink r:id="rId103" w:history="1">
        <w:r w:rsidR="009E18B2" w:rsidRPr="00C92074">
          <w:rPr>
            <w:rStyle w:val="Hyperlink"/>
            <w:rFonts w:cs="Arial"/>
            <w:color w:val="004494"/>
          </w:rPr>
          <w:t>Site-ul web al Comisiei SEDEC a Comitetului European al Regiunilor</w:t>
        </w:r>
      </w:hyperlink>
      <w:hyperlink r:id="rId104" w:history="1"/>
      <w:r w:rsidR="009E18B2" w:rsidRPr="00C92074">
        <w:rPr>
          <w:rFonts w:ascii="Verdana" w:hAnsi="Verdana"/>
          <w:color w:val="404040"/>
          <w:sz w:val="18"/>
          <w:szCs w:val="18"/>
        </w:rPr>
        <w:t> </w:t>
      </w:r>
    </w:p>
    <w:p w14:paraId="2B598C76" w14:textId="77777777" w:rsidR="009E18B2" w:rsidRPr="00C92074" w:rsidRDefault="00A53D90" w:rsidP="00C92074">
      <w:pPr>
        <w:pStyle w:val="NormalWeb"/>
        <w:spacing w:before="120" w:beforeAutospacing="0" w:after="0" w:afterAutospacing="0"/>
        <w:rPr>
          <w:rFonts w:ascii="Verdana" w:hAnsi="Verdana"/>
          <w:color w:val="404040"/>
          <w:sz w:val="18"/>
          <w:szCs w:val="18"/>
        </w:rPr>
      </w:pPr>
      <w:hyperlink r:id="rId105" w:history="1">
        <w:r w:rsidR="009E18B2" w:rsidRPr="00C92074">
          <w:rPr>
            <w:rStyle w:val="Hyperlink"/>
            <w:rFonts w:cs="Arial"/>
            <w:color w:val="004494"/>
          </w:rPr>
          <w:t>Protocolul operațional al parteneriatelor pentru inovarea regională</w:t>
        </w:r>
      </w:hyperlink>
    </w:p>
    <w:p w14:paraId="256E6036" w14:textId="77777777" w:rsidR="009E18B2" w:rsidRPr="00C92074" w:rsidRDefault="00A53D90" w:rsidP="00C92074">
      <w:pPr>
        <w:pStyle w:val="NormalWeb"/>
        <w:spacing w:before="120" w:beforeAutospacing="0" w:after="0" w:afterAutospacing="0"/>
        <w:rPr>
          <w:rFonts w:ascii="Verdana" w:hAnsi="Verdana"/>
          <w:color w:val="404040"/>
          <w:sz w:val="18"/>
          <w:szCs w:val="18"/>
        </w:rPr>
      </w:pPr>
      <w:hyperlink r:id="rId106" w:history="1">
        <w:r w:rsidR="009E18B2" w:rsidRPr="00C92074">
          <w:rPr>
            <w:rStyle w:val="Hyperlink"/>
            <w:rFonts w:cs="Arial"/>
            <w:color w:val="004494"/>
          </w:rPr>
          <w:t>Harta participanților la cererea de propuneri</w:t>
        </w:r>
      </w:hyperlink>
    </w:p>
    <w:p w14:paraId="166DCD30" w14:textId="69B860DC" w:rsidR="009E18B2" w:rsidRPr="00C92074" w:rsidRDefault="00C92074" w:rsidP="00C92074">
      <w:pPr>
        <w:pStyle w:val="separatorarticole"/>
      </w:pPr>
      <w:r w:rsidRPr="00C92074">
        <w:t>*</w:t>
      </w:r>
    </w:p>
    <w:p w14:paraId="163FF947" w14:textId="77777777" w:rsidR="00C92074" w:rsidRPr="00C92074" w:rsidRDefault="00C92074" w:rsidP="00C92074">
      <w:pPr>
        <w:pStyle w:val="TitluArticolinINFOUE"/>
        <w:rPr>
          <w:lang w:eastAsia="ro-RO"/>
        </w:rPr>
      </w:pPr>
      <w:bookmarkStart w:id="168" w:name="_Toc104197296"/>
      <w:r w:rsidRPr="00C92074">
        <w:lastRenderedPageBreak/>
        <w:t>DiscoverEU: peste 1500 de tineri români selectați în prima rundă din 2022</w:t>
      </w:r>
      <w:bookmarkEnd w:id="168"/>
    </w:p>
    <w:p w14:paraId="2F4AE3B9" w14:textId="6408E37A" w:rsidR="00C92074" w:rsidRPr="00C92074" w:rsidRDefault="00496A20" w:rsidP="00C92074">
      <w:pPr>
        <w:pStyle w:val="ecl-page-header-standardiseddescription"/>
        <w:shd w:val="clear" w:color="auto" w:fill="FFFFFF"/>
        <w:spacing w:before="120" w:beforeAutospacing="0" w:after="0" w:afterAutospacing="0"/>
        <w:rPr>
          <w:rFonts w:ascii="Verdana" w:hAnsi="Verdana" w:cs="Arial"/>
          <w:color w:val="404040"/>
          <w:sz w:val="18"/>
          <w:szCs w:val="18"/>
        </w:rPr>
      </w:pPr>
      <w:r w:rsidRPr="00C92074">
        <w:rPr>
          <w:rFonts w:ascii="Verdana" w:hAnsi="Verdana"/>
          <w:noProof/>
          <w:sz w:val="18"/>
          <w:szCs w:val="18"/>
        </w:rPr>
        <w:drawing>
          <wp:anchor distT="0" distB="0" distL="114300" distR="114300" simplePos="0" relativeHeight="252095488" behindDoc="0" locked="0" layoutInCell="1" allowOverlap="1" wp14:anchorId="5B459571" wp14:editId="41AD8C51">
            <wp:simplePos x="0" y="0"/>
            <wp:positionH relativeFrom="column">
              <wp:posOffset>-16510</wp:posOffset>
            </wp:positionH>
            <wp:positionV relativeFrom="paragraph">
              <wp:posOffset>105410</wp:posOffset>
            </wp:positionV>
            <wp:extent cx="2595415" cy="1600200"/>
            <wp:effectExtent l="0" t="0" r="0" b="0"/>
            <wp:wrapSquare wrapText="bothSides"/>
            <wp:docPr id="43" name="Picture 43" descr="Discov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coverEU"/>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95415" cy="1600200"/>
                    </a:xfrm>
                    <a:prstGeom prst="rect">
                      <a:avLst/>
                    </a:prstGeom>
                    <a:noFill/>
                    <a:ln>
                      <a:noFill/>
                    </a:ln>
                  </pic:spPr>
                </pic:pic>
              </a:graphicData>
            </a:graphic>
          </wp:anchor>
        </w:drawing>
      </w:r>
      <w:r w:rsidR="00C92074" w:rsidRPr="00C92074">
        <w:rPr>
          <w:rFonts w:ascii="Verdana" w:hAnsi="Verdana" w:cs="Arial"/>
          <w:color w:val="404040"/>
          <w:sz w:val="18"/>
          <w:szCs w:val="18"/>
        </w:rPr>
        <w:t>În prima rundă a acțiunii </w:t>
      </w:r>
      <w:hyperlink r:id="rId108" w:history="1">
        <w:r w:rsidR="00C92074" w:rsidRPr="00C92074">
          <w:rPr>
            <w:rStyle w:val="Hyperlink"/>
            <w:rFonts w:cs="Arial"/>
            <w:color w:val="004494"/>
          </w:rPr>
          <w:t>DiscoverEU</w:t>
        </w:r>
      </w:hyperlink>
      <w:r w:rsidR="00C92074" w:rsidRPr="00C92074">
        <w:rPr>
          <w:rFonts w:ascii="Verdana" w:hAnsi="Verdana" w:cs="Arial"/>
          <w:color w:val="404040"/>
          <w:sz w:val="18"/>
          <w:szCs w:val="18"/>
        </w:rPr>
        <w:t> din cadrul programului </w:t>
      </w:r>
      <w:hyperlink r:id="rId109" w:history="1">
        <w:r w:rsidR="00C92074" w:rsidRPr="00C92074">
          <w:rPr>
            <w:rStyle w:val="Hyperlink"/>
            <w:rFonts w:cs="Arial"/>
            <w:color w:val="004494"/>
          </w:rPr>
          <w:t>Erasmus+</w:t>
        </w:r>
      </w:hyperlink>
      <w:r w:rsidR="00C92074" w:rsidRPr="00C92074">
        <w:rPr>
          <w:rFonts w:ascii="Verdana" w:hAnsi="Verdana" w:cs="Arial"/>
          <w:color w:val="404040"/>
          <w:sz w:val="18"/>
          <w:szCs w:val="18"/>
        </w:rPr>
        <w:t>, 1562 de tineri români în vârstă de 18 ani </w:t>
      </w:r>
      <w:hyperlink r:id="rId110" w:history="1">
        <w:r w:rsidR="00C92074" w:rsidRPr="00C92074">
          <w:rPr>
            <w:rStyle w:val="Hyperlink"/>
            <w:rFonts w:cs="Arial"/>
            <w:color w:val="004494"/>
          </w:rPr>
          <w:t>au fost selectați</w:t>
        </w:r>
      </w:hyperlink>
      <w:r w:rsidR="00C92074" w:rsidRPr="00C92074">
        <w:rPr>
          <w:rFonts w:ascii="Verdana" w:hAnsi="Verdana" w:cs="Arial"/>
          <w:color w:val="404040"/>
          <w:sz w:val="18"/>
          <w:szCs w:val="18"/>
        </w:rPr>
        <w:t> să călătorească în întreaga Europă.</w:t>
      </w:r>
    </w:p>
    <w:p w14:paraId="44F057D4" w14:textId="617F19AD" w:rsidR="00C92074" w:rsidRPr="00C92074" w:rsidRDefault="00C92074"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La nivel european, 35.000 de tineri în vârstă de 18 ani </w:t>
      </w:r>
      <w:hyperlink r:id="rId111" w:history="1">
        <w:r w:rsidRPr="00C92074">
          <w:rPr>
            <w:rStyle w:val="Hyperlink"/>
            <w:rFonts w:cs="Arial"/>
            <w:color w:val="004494"/>
          </w:rPr>
          <w:t>au fost selectați</w:t>
        </w:r>
      </w:hyperlink>
      <w:r w:rsidRPr="00C92074">
        <w:rPr>
          <w:rFonts w:ascii="Verdana" w:hAnsi="Verdana"/>
          <w:color w:val="404040"/>
          <w:sz w:val="18"/>
          <w:szCs w:val="18"/>
        </w:rPr>
        <w:t> să călătorească în întreaga Europă.</w:t>
      </w:r>
    </w:p>
    <w:p w14:paraId="5366306A" w14:textId="7D0C4C66" w:rsidR="00C92074" w:rsidRPr="00C92074" w:rsidRDefault="00C92074"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Ciclul din acest an marchează intrarea DiscoverEU în programul </w:t>
      </w:r>
      <w:hyperlink r:id="rId112" w:history="1">
        <w:r w:rsidRPr="00C92074">
          <w:rPr>
            <w:rStyle w:val="Hyperlink"/>
            <w:rFonts w:cs="Arial"/>
            <w:color w:val="004494"/>
          </w:rPr>
          <w:t>Erasmus+</w:t>
        </w:r>
      </w:hyperlink>
      <w:r w:rsidRPr="00C92074">
        <w:rPr>
          <w:rFonts w:ascii="Verdana" w:hAnsi="Verdana"/>
          <w:color w:val="404040"/>
          <w:sz w:val="18"/>
          <w:szCs w:val="18"/>
        </w:rPr>
        <w:t>. Odată cu această modificare și datorită finanțării excepționale acordate cu ocazia </w:t>
      </w:r>
      <w:hyperlink r:id="rId113" w:history="1">
        <w:r w:rsidRPr="00C92074">
          <w:rPr>
            <w:rStyle w:val="Hyperlink"/>
            <w:rFonts w:cs="Arial"/>
            <w:color w:val="004494"/>
          </w:rPr>
          <w:t>Anului european al tineretului 2022,</w:t>
        </w:r>
      </w:hyperlink>
      <w:hyperlink r:id="rId114" w:history="1"/>
      <w:r w:rsidRPr="00C92074">
        <w:rPr>
          <w:rFonts w:ascii="Verdana" w:hAnsi="Verdana"/>
          <w:color w:val="404040"/>
          <w:sz w:val="18"/>
          <w:szCs w:val="18"/>
        </w:rPr>
        <w:t> în acest an se vor pune la dispoziție 70.000 de permise de călătorie.</w:t>
      </w:r>
    </w:p>
    <w:p w14:paraId="125C2887" w14:textId="7D33CD7E" w:rsidR="00C92074" w:rsidRPr="00C92074" w:rsidRDefault="00C92074"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Pentru prima dată, s-au putut înscrie și tineri din Islanda, Liechtenstein, Norvegia, Macedonia de Nord, Serbia și Turcia, deoarece aceste țări participă la programul Erasmus+.</w:t>
      </w:r>
    </w:p>
    <w:p w14:paraId="748B8A99" w14:textId="284F24D1" w:rsidR="00C92074" w:rsidRPr="00C92074" w:rsidRDefault="00C92074"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Mariya </w:t>
      </w:r>
      <w:r w:rsidRPr="00C92074">
        <w:rPr>
          <w:rStyle w:val="Strong"/>
          <w:color w:val="404040"/>
        </w:rPr>
        <w:t>Gabriel</w:t>
      </w:r>
      <w:r w:rsidRPr="00C92074">
        <w:rPr>
          <w:rFonts w:ascii="Verdana" w:hAnsi="Verdana"/>
          <w:color w:val="404040"/>
          <w:sz w:val="18"/>
          <w:szCs w:val="18"/>
        </w:rPr>
        <w:t>, comisarul pentru inovare, cercetare, cultură, educație și tineret, a declarat: „ </w:t>
      </w:r>
      <w:r w:rsidRPr="00C92074">
        <w:rPr>
          <w:rStyle w:val="Emphasis"/>
          <w:color w:val="404040"/>
        </w:rPr>
        <w:t>Experiența DiscoverEU a dat naștere unei comunități cu valori puternice, respect față de cultura europeană și deschidere către noi prietenii și experiențe care îmbogățesc. Mă bucur foarte mult că, anul acesta, am fost în măsură să includem în această inițiativă tineri dintr-un număr mai mare de țări, deoarece susținem cu fermitate importanța schimburilor interculturale pozitive.”</w:t>
      </w:r>
    </w:p>
    <w:p w14:paraId="2850FB55" w14:textId="4172DC1B" w:rsidR="00C92074" w:rsidRPr="00C92074" w:rsidRDefault="00C92074"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Runda de înscrieri s-a încheiat la 21 aprilie 2022 și a atras aproape 69.000 de tineri entuziaști. Solicitanții selectați vor fi informați și vor putea începe să își organizeze o călătorie cu o durată de maximum 30 de zile în perioada 1 iulie 2022-30 iunie 2023. Vor fi sprijiniți de agențiile naționale Erasmus+, care organizează reuniuni de informare prealabile plecării precum și întâlniri în întreaga Europă. Participanții vor primi, de asemenea, </w:t>
      </w:r>
      <w:hyperlink r:id="rId115" w:history="1">
        <w:r w:rsidRPr="00C92074">
          <w:rPr>
            <w:rStyle w:val="Hyperlink"/>
            <w:rFonts w:cs="Arial"/>
            <w:color w:val="004494"/>
          </w:rPr>
          <w:t>noul card DiscoverEU cu reduceri</w:t>
        </w:r>
      </w:hyperlink>
      <w:hyperlink r:id="rId116" w:history="1"/>
      <w:r w:rsidRPr="00C92074">
        <w:rPr>
          <w:rFonts w:ascii="Verdana" w:hAnsi="Verdana"/>
          <w:color w:val="404040"/>
          <w:sz w:val="18"/>
          <w:szCs w:val="18"/>
        </w:rPr>
        <w:t>, care va oferi peste 40.000 de posibilități de reducere la cazare, alimente, cultură și alte servicii.</w:t>
      </w:r>
    </w:p>
    <w:p w14:paraId="45C6A726" w14:textId="77777777" w:rsidR="00C92074" w:rsidRDefault="00C92074" w:rsidP="00C92074">
      <w:pPr>
        <w:pStyle w:val="NormalWeb"/>
        <w:spacing w:before="120" w:beforeAutospacing="0" w:after="0" w:afterAutospacing="0"/>
        <w:rPr>
          <w:rFonts w:ascii="Verdana" w:hAnsi="Verdana"/>
          <w:color w:val="404040"/>
          <w:sz w:val="18"/>
          <w:szCs w:val="18"/>
        </w:rPr>
      </w:pPr>
      <w:r w:rsidRPr="00C92074">
        <w:rPr>
          <w:rFonts w:ascii="Verdana" w:hAnsi="Verdana"/>
          <w:color w:val="404040"/>
          <w:sz w:val="18"/>
          <w:szCs w:val="18"/>
        </w:rPr>
        <w:t>Comisia intenționează să lanseze următoarea rundă de înscrieri în octombrie, când tinerii candidați vor putea solicita 35.000 de permise de călătorie suplimentare. </w:t>
      </w:r>
    </w:p>
    <w:p w14:paraId="176306E7" w14:textId="3A8094EE" w:rsidR="007073DC" w:rsidRPr="000F7C7D" w:rsidRDefault="007073DC" w:rsidP="00CD63E5">
      <w:pPr>
        <w:pStyle w:val="separatorarticole"/>
      </w:pPr>
      <w:r w:rsidRPr="000F7C7D">
        <w:t>*</w:t>
      </w:r>
    </w:p>
    <w:p w14:paraId="1067D17D" w14:textId="77777777" w:rsidR="00E40250" w:rsidRPr="000F7C7D" w:rsidRDefault="00E40250" w:rsidP="00CD63E5">
      <w:pPr>
        <w:pStyle w:val="TitluArticolinINFOUE"/>
        <w:rPr>
          <w:lang w:eastAsia="ro-RO"/>
        </w:rPr>
      </w:pPr>
      <w:bookmarkStart w:id="169" w:name="_Toc104197297"/>
      <w:r w:rsidRPr="000F7C7D">
        <w:t>REPowerEU: un plan prin care să ne reducem rapid dependența de combustibilii fosili din Rusia și să accelerăm tranziția verde</w:t>
      </w:r>
      <w:bookmarkEnd w:id="169"/>
    </w:p>
    <w:p w14:paraId="79DC5703" w14:textId="77777777" w:rsidR="00E40250" w:rsidRPr="000F7C7D" w:rsidRDefault="00E40250" w:rsidP="000F7C7D">
      <w:pPr>
        <w:pStyle w:val="ecl-page-header-standardiseddescription"/>
        <w:shd w:val="clear" w:color="auto" w:fill="FFFFFF"/>
        <w:spacing w:before="120" w:beforeAutospacing="0" w:after="0" w:afterAutospacing="0"/>
        <w:rPr>
          <w:rFonts w:ascii="Verdana" w:hAnsi="Verdana" w:cs="Arial"/>
          <w:color w:val="404040"/>
          <w:sz w:val="18"/>
          <w:szCs w:val="18"/>
        </w:rPr>
      </w:pPr>
      <w:r w:rsidRPr="000F7C7D">
        <w:rPr>
          <w:rFonts w:ascii="Verdana" w:hAnsi="Verdana" w:cs="Arial"/>
          <w:color w:val="404040"/>
          <w:sz w:val="18"/>
          <w:szCs w:val="18"/>
        </w:rPr>
        <w:t>Comisia Europeană a prezentat ieri, 18 mai, </w:t>
      </w:r>
      <w:hyperlink r:id="rId117" w:history="1">
        <w:r w:rsidRPr="000F7C7D">
          <w:rPr>
            <w:rStyle w:val="Hyperlink"/>
            <w:rFonts w:cs="Arial"/>
            <w:color w:val="004494"/>
          </w:rPr>
          <w:t>planul REPowerEU</w:t>
        </w:r>
      </w:hyperlink>
      <w:r w:rsidRPr="000F7C7D">
        <w:rPr>
          <w:rFonts w:ascii="Verdana" w:hAnsi="Verdana" w:cs="Arial"/>
          <w:color w:val="404040"/>
          <w:sz w:val="18"/>
          <w:szCs w:val="18"/>
        </w:rPr>
        <w:t> - răspunsul său la situația dificilă și la perturbările cauzate pe piața mondială a energiei de invazia Ucrainei de către Rusia.</w:t>
      </w:r>
    </w:p>
    <w:p w14:paraId="312B664A" w14:textId="572F5573" w:rsidR="00E40250" w:rsidRPr="000F7C7D" w:rsidRDefault="00E40250" w:rsidP="00CD63E5">
      <w:pPr>
        <w:rPr>
          <w:color w:val="404040"/>
          <w:szCs w:val="18"/>
        </w:rPr>
      </w:pPr>
      <w:r w:rsidRPr="000F7C7D">
        <w:rPr>
          <w:noProof/>
          <w:szCs w:val="18"/>
          <w:lang w:eastAsia="ro-RO"/>
        </w:rPr>
        <w:drawing>
          <wp:anchor distT="0" distB="0" distL="114300" distR="114300" simplePos="0" relativeHeight="252099584" behindDoc="0" locked="0" layoutInCell="1" allowOverlap="1" wp14:anchorId="232046B3" wp14:editId="636E3A39">
            <wp:simplePos x="0" y="0"/>
            <wp:positionH relativeFrom="column">
              <wp:posOffset>2540</wp:posOffset>
            </wp:positionH>
            <wp:positionV relativeFrom="paragraph">
              <wp:posOffset>73660</wp:posOffset>
            </wp:positionV>
            <wp:extent cx="2019300" cy="1350954"/>
            <wp:effectExtent l="0" t="0" r="0" b="1905"/>
            <wp:wrapSquare wrapText="bothSides"/>
            <wp:docPr id="17" name="Picture 17" descr="REPow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werEU"/>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019300" cy="1350954"/>
                    </a:xfrm>
                    <a:prstGeom prst="rect">
                      <a:avLst/>
                    </a:prstGeom>
                    <a:noFill/>
                    <a:ln>
                      <a:noFill/>
                    </a:ln>
                  </pic:spPr>
                </pic:pic>
              </a:graphicData>
            </a:graphic>
          </wp:anchor>
        </w:drawing>
      </w:r>
      <w:r w:rsidRPr="000F7C7D">
        <w:rPr>
          <w:color w:val="404040"/>
          <w:szCs w:val="18"/>
        </w:rPr>
        <w:t>Există două argumente principale în favoarea transformării urgente a sistemului energetic european: </w:t>
      </w:r>
      <w:r w:rsidRPr="000F7C7D">
        <w:rPr>
          <w:rStyle w:val="Strong"/>
          <w:color w:val="404040"/>
        </w:rPr>
        <w:t>necesitatea eliminării dependenței UE de combustibilii fosili din Rusia</w:t>
      </w:r>
      <w:r w:rsidRPr="000F7C7D">
        <w:rPr>
          <w:color w:val="404040"/>
          <w:szCs w:val="18"/>
        </w:rPr>
        <w:t>, care sunt utilizați ca armă economică și politică și pentru care contribuabilii europeni plătesc aproape 100 de miliarde EUR pe an, și </w:t>
      </w:r>
      <w:r w:rsidRPr="000F7C7D">
        <w:rPr>
          <w:rStyle w:val="Strong"/>
          <w:color w:val="404040"/>
        </w:rPr>
        <w:t>necesitatea gestionării crizei climatice</w:t>
      </w:r>
      <w:r w:rsidRPr="000F7C7D">
        <w:rPr>
          <w:color w:val="404040"/>
          <w:szCs w:val="18"/>
        </w:rPr>
        <w:t>. Acționând la nivelul Uniunii, Europa va putea să își reducă treptat într-un ritm mai rapid dependența de combustibilii fosili din Rusia. </w:t>
      </w:r>
      <w:hyperlink r:id="rId119" w:history="1">
        <w:r w:rsidRPr="000F7C7D">
          <w:rPr>
            <w:rStyle w:val="Hyperlink"/>
            <w:rFonts w:cs="Arial"/>
            <w:color w:val="004494"/>
          </w:rPr>
          <w:t>85 % din europeni</w:t>
        </w:r>
      </w:hyperlink>
      <w:hyperlink r:id="rId120" w:history="1"/>
      <w:r w:rsidRPr="000F7C7D">
        <w:rPr>
          <w:color w:val="404040"/>
          <w:szCs w:val="18"/>
        </w:rPr>
        <w:t> consideră că UE ar trebui să își reducă dependența de gazul și petrolul rusesc cât mai curând posibil pentru a sprijini Ucraina. Măsurile incluse în planul REPowerEU pot permite realizarea acestui obiectiv, prin </w:t>
      </w:r>
      <w:r w:rsidRPr="000F7C7D">
        <w:rPr>
          <w:rStyle w:val="Strong"/>
          <w:color w:val="404040"/>
        </w:rPr>
        <w:t>realizarea de economii de energie, prin diversificarea aprovizionării cu energie și prin dezvoltarea accelerată a energiei din surse regenerabile</w:t>
      </w:r>
      <w:r w:rsidRPr="000F7C7D">
        <w:rPr>
          <w:color w:val="404040"/>
          <w:szCs w:val="18"/>
        </w:rPr>
        <w:t> care ar urma să înlocuiască combustibilii fosili în locuințe, în industrie și pentru generarea de energie electrică.</w:t>
      </w:r>
    </w:p>
    <w:p w14:paraId="68FFE1B9" w14:textId="4DEDFBDC"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Transformarea verde va </w:t>
      </w:r>
      <w:r w:rsidRPr="000F7C7D">
        <w:rPr>
          <w:rStyle w:val="Strong"/>
          <w:color w:val="404040"/>
        </w:rPr>
        <w:t>consolida creșterea economică, securitatea și acțiunile climatice</w:t>
      </w:r>
      <w:r w:rsidRPr="000F7C7D">
        <w:rPr>
          <w:rFonts w:ascii="Verdana" w:hAnsi="Verdana"/>
          <w:color w:val="404040"/>
          <w:sz w:val="18"/>
          <w:szCs w:val="18"/>
        </w:rPr>
        <w:t> în beneficiul Europei și al partenerilor noștri. Mecanismul de redresare și reziliență (MRR) este un instrument central al Planului REPowerEU, sprijinind planificarea și finanțarea coordonată a infrastructurii transfrontaliere și naționale, precum și a proiectelor și reformelor din domeniul energetic. Comisia propune să aducă </w:t>
      </w:r>
      <w:hyperlink r:id="rId121" w:history="1">
        <w:r w:rsidRPr="000F7C7D">
          <w:rPr>
            <w:rStyle w:val="Hyperlink"/>
            <w:rFonts w:cs="Arial"/>
            <w:color w:val="004494"/>
          </w:rPr>
          <w:t>modificări</w:t>
        </w:r>
      </w:hyperlink>
      <w:hyperlink r:id="rId122" w:history="1"/>
      <w:r w:rsidRPr="000F7C7D">
        <w:rPr>
          <w:rFonts w:ascii="Verdana" w:hAnsi="Verdana"/>
          <w:color w:val="404040"/>
          <w:sz w:val="18"/>
          <w:szCs w:val="18"/>
        </w:rPr>
        <w:t> punctuale </w:t>
      </w:r>
      <w:hyperlink r:id="rId123" w:history="1">
        <w:r w:rsidRPr="000F7C7D">
          <w:rPr>
            <w:rStyle w:val="Hyperlink"/>
            <w:rFonts w:cs="Arial"/>
            <w:color w:val="004494"/>
          </w:rPr>
          <w:t xml:space="preserve">Regulamentului de instituire a Mecanismului de redresare și </w:t>
        </w:r>
        <w:r w:rsidRPr="000F7C7D">
          <w:rPr>
            <w:rStyle w:val="Hyperlink"/>
            <w:rFonts w:cs="Arial"/>
            <w:color w:val="004494"/>
          </w:rPr>
          <w:lastRenderedPageBreak/>
          <w:t>reziliență</w:t>
        </w:r>
      </w:hyperlink>
      <w:hyperlink r:id="rId124" w:history="1"/>
      <w:r w:rsidRPr="000F7C7D">
        <w:rPr>
          <w:rFonts w:ascii="Verdana" w:hAnsi="Verdana"/>
          <w:color w:val="404040"/>
          <w:sz w:val="18"/>
          <w:szCs w:val="18"/>
        </w:rPr>
        <w:t> astfel încât, pe lângă numeroasele reforme și investiții relevante care sunt deja incluse în planurile de redresare și reziliență ale statelor membre, acestea din urmă să includă și capitole consacrate REPowerEU. Recomandările specifice fiecărei țări formulate în cadrul ciclului din 2022 al semestrului european vor contribui la acest proces.</w:t>
      </w:r>
    </w:p>
    <w:p w14:paraId="3B8362EE"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Economii de energie</w:t>
      </w:r>
    </w:p>
    <w:p w14:paraId="3A770D71" w14:textId="3DE41405"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Economiile de energie reprezintă modalitatea cea mai rapidă și mai ieftină de a gestiona criza energetică actuală și de a reduce facturile la energie. Comisia propune consolidarea măsurilor de eficiență energetică pe termen lung, inclusiv prin </w:t>
      </w:r>
      <w:r w:rsidRPr="000F7C7D">
        <w:rPr>
          <w:rStyle w:val="Strong"/>
          <w:color w:val="404040"/>
        </w:rPr>
        <w:t>mărirea de la 9 % la 13 % a obiectivului obligatoriu în materie de eficiență energetică</w:t>
      </w:r>
      <w:r w:rsidRPr="000F7C7D">
        <w:rPr>
          <w:rFonts w:ascii="Verdana" w:hAnsi="Verdana"/>
          <w:color w:val="404040"/>
          <w:sz w:val="18"/>
          <w:szCs w:val="18"/>
        </w:rPr>
        <w:t> stabilit în pachetul legislativ „Pregătiți pentru 55” referitor la obiectivele Pactului verde european. Economiile de energie pe care le facem acum ne vor permite să fim pregătiți pentru provocările cu care e posibil să ne confruntăm iarna viitoare. Prin urmare, Comisia a publicat astăzi și o „</w:t>
      </w:r>
      <w:hyperlink r:id="rId125" w:history="1">
        <w:r w:rsidRPr="000F7C7D">
          <w:rPr>
            <w:rStyle w:val="Hyperlink"/>
            <w:rFonts w:cs="Arial"/>
            <w:color w:val="004494"/>
          </w:rPr>
          <w:t>Comunicare a UE privind economiile de energie</w:t>
        </w:r>
      </w:hyperlink>
      <w:hyperlink r:id="rId126" w:history="1"/>
      <w:r w:rsidRPr="000F7C7D">
        <w:rPr>
          <w:rFonts w:ascii="Verdana" w:hAnsi="Verdana"/>
          <w:color w:val="404040"/>
          <w:sz w:val="18"/>
          <w:szCs w:val="18"/>
        </w:rPr>
        <w:t>”, care prezintă în detaliu </w:t>
      </w:r>
      <w:r w:rsidRPr="000F7C7D">
        <w:rPr>
          <w:rStyle w:val="Strong"/>
          <w:color w:val="404040"/>
        </w:rPr>
        <w:t>schimbările comportamentale pe termen scurt care ar putea reduce cu 5 % cererea de gaze și petrol</w:t>
      </w:r>
      <w:r w:rsidRPr="000F7C7D">
        <w:rPr>
          <w:rFonts w:ascii="Verdana" w:hAnsi="Verdana"/>
          <w:color w:val="404040"/>
          <w:sz w:val="18"/>
          <w:szCs w:val="18"/>
        </w:rPr>
        <w:t> și încurajează statele membre să lanseze campanii de comunicare pe acest subiect destinate gospodăriilor și întreprinderilor. Statele membre sunt, de asemenea, încurajate să recurgă la </w:t>
      </w:r>
      <w:r w:rsidRPr="000F7C7D">
        <w:rPr>
          <w:rStyle w:val="Strong"/>
          <w:color w:val="404040"/>
        </w:rPr>
        <w:t>măsuri fiscale pentru a încuraja economiile de energie</w:t>
      </w:r>
      <w:r w:rsidRPr="000F7C7D">
        <w:rPr>
          <w:rFonts w:ascii="Verdana" w:hAnsi="Verdana"/>
          <w:color w:val="404040"/>
          <w:sz w:val="18"/>
          <w:szCs w:val="18"/>
        </w:rPr>
        <w:t>, de exemplu prin aplicarea de cote reduse de TVA pentru sistemele de încălzire, lucrările de izolare a clădirilor și aparatele și produsele eficiente din punct de vedere energetic. Comisia prevede, de asemenea, </w:t>
      </w:r>
      <w:r w:rsidRPr="000F7C7D">
        <w:rPr>
          <w:rStyle w:val="Strong"/>
          <w:color w:val="404040"/>
        </w:rPr>
        <w:t>măsuri de contingență</w:t>
      </w:r>
      <w:r w:rsidRPr="000F7C7D">
        <w:rPr>
          <w:rFonts w:ascii="Verdana" w:hAnsi="Verdana"/>
          <w:color w:val="404040"/>
          <w:sz w:val="18"/>
          <w:szCs w:val="18"/>
        </w:rPr>
        <w:t> în cazul unei întreruperi grave a aprovizionării cu energie și va formula orientări privind criteriile pe baza cărora trebuie stabilite prioritățile pentru clienți, urmând, de asemenea, să acționeze ca facilitator în vederea elaborării unui plan coordonat la nivelul UE de reducere a cererii.</w:t>
      </w:r>
    </w:p>
    <w:p w14:paraId="044B7EBF"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Diversificarea aprovizionării și sprijinirea partenerilor noștri internaționali</w:t>
      </w:r>
    </w:p>
    <w:p w14:paraId="5F4A1EEE" w14:textId="479F2AEE"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UE </w:t>
      </w:r>
      <w:r w:rsidRPr="000F7C7D">
        <w:rPr>
          <w:rStyle w:val="Strong"/>
          <w:color w:val="404040"/>
        </w:rPr>
        <w:t>colaborează deja de câteva luni cu partenerii internaționali în vederea diversificării aprovizionării</w:t>
      </w:r>
      <w:r w:rsidRPr="000F7C7D">
        <w:rPr>
          <w:rFonts w:ascii="Verdana" w:hAnsi="Verdana"/>
          <w:color w:val="404040"/>
          <w:sz w:val="18"/>
          <w:szCs w:val="18"/>
        </w:rPr>
        <w:t> și a </w:t>
      </w:r>
      <w:r w:rsidRPr="000F7C7D">
        <w:rPr>
          <w:rStyle w:val="Strong"/>
          <w:color w:val="404040"/>
        </w:rPr>
        <w:t>obținut un nivel record al importurilor de GNL și livrarea unui volum mai mare de gaze prin gazoducte</w:t>
      </w:r>
      <w:r w:rsidRPr="000F7C7D">
        <w:rPr>
          <w:rFonts w:ascii="Verdana" w:hAnsi="Verdana"/>
          <w:color w:val="404040"/>
          <w:sz w:val="18"/>
          <w:szCs w:val="18"/>
        </w:rPr>
        <w:t>. </w:t>
      </w:r>
      <w:hyperlink r:id="rId127" w:history="1">
        <w:r w:rsidRPr="000F7C7D">
          <w:rPr>
            <w:rStyle w:val="Hyperlink"/>
            <w:rFonts w:cs="Arial"/>
            <w:color w:val="004494"/>
          </w:rPr>
          <w:t>Platforma energetică a UE</w:t>
        </w:r>
      </w:hyperlink>
      <w:hyperlink r:id="rId128" w:history="1"/>
      <w:r w:rsidRPr="000F7C7D">
        <w:rPr>
          <w:rFonts w:ascii="Verdana" w:hAnsi="Verdana"/>
          <w:color w:val="404040"/>
          <w:sz w:val="18"/>
          <w:szCs w:val="18"/>
        </w:rPr>
        <w:t> recent creată, sprijinită de grupuri operative regionale, va permite realizarea de achiziții comune pe bază voluntară de gaze, GNL și hidrogen prin centralizarea cererii, optimizarea utilizării infrastructurii și coordonarea activităților de comunicare cu furnizorii. În etapa următoare, propunându-și același nivel de ambiție ca și în cazul programului comun de achiziționare de vaccinuri, Comisia va avea în vedere dezvoltarea unui „</w:t>
      </w:r>
      <w:r w:rsidRPr="000F7C7D">
        <w:rPr>
          <w:rStyle w:val="Strong"/>
          <w:color w:val="404040"/>
        </w:rPr>
        <w:t>mecanism comun de achiziții</w:t>
      </w:r>
      <w:r w:rsidRPr="000F7C7D">
        <w:rPr>
          <w:rFonts w:ascii="Verdana" w:hAnsi="Verdana"/>
          <w:color w:val="404040"/>
          <w:sz w:val="18"/>
          <w:szCs w:val="18"/>
        </w:rPr>
        <w:t>” prin care vor fi negociate și încheiate contractele de achiziție de gaze în numele statelor membre participante. De asemenea, Comisia va avea în vedere măsuri legislative care vor prevedea obligația statelor membre de a-și diversifica în timp aprovizionarea cu gaze. Platforma va permite, de asemenea, achiziționarea în comun de hidrogen din surse regenerabile.</w:t>
      </w:r>
    </w:p>
    <w:p w14:paraId="39917D7B" w14:textId="71E0C946" w:rsidR="00E40250" w:rsidRPr="000F7C7D" w:rsidRDefault="00E40250" w:rsidP="000F7C7D">
      <w:pPr>
        <w:pStyle w:val="NormalWeb"/>
        <w:spacing w:before="120" w:beforeAutospacing="0" w:after="0" w:afterAutospacing="0"/>
        <w:rPr>
          <w:rFonts w:ascii="Verdana" w:hAnsi="Verdana"/>
          <w:color w:val="404040"/>
          <w:sz w:val="18"/>
          <w:szCs w:val="18"/>
        </w:rPr>
      </w:pPr>
      <w:hyperlink r:id="rId129" w:history="1">
        <w:r w:rsidRPr="000F7C7D">
          <w:rPr>
            <w:rStyle w:val="Strong"/>
            <w:rFonts w:cs="Arial"/>
            <w:color w:val="004494"/>
            <w:u w:val="single"/>
          </w:rPr>
          <w:t>Strategia externă a UE în domeniul energiei</w:t>
        </w:r>
      </w:hyperlink>
      <w:hyperlink r:id="rId130" w:history="1"/>
      <w:r w:rsidRPr="000F7C7D">
        <w:rPr>
          <w:rFonts w:ascii="Verdana" w:hAnsi="Verdana"/>
          <w:color w:val="404040"/>
          <w:sz w:val="18"/>
          <w:szCs w:val="18"/>
        </w:rPr>
        <w:t>, adoptată astăzi, va facilita diversificarea energetică și stabilirea unor parteneriate pe termen lung cu furnizorii, inclusiv a unor relații de cooperare privind hidrogenul sau alte tehnologii verzi. În conformitate cu strategia </w:t>
      </w:r>
      <w:r w:rsidRPr="000F7C7D">
        <w:rPr>
          <w:rStyle w:val="Emphasis"/>
          <w:color w:val="404040"/>
        </w:rPr>
        <w:t>Global Gateway</w:t>
      </w:r>
      <w:r w:rsidRPr="000F7C7D">
        <w:rPr>
          <w:rFonts w:ascii="Verdana" w:hAnsi="Verdana"/>
          <w:color w:val="404040"/>
          <w:sz w:val="18"/>
          <w:szCs w:val="18"/>
        </w:rPr>
        <w:t>, strategia externă în domeniul energiei recunoaște caracterul prioritar al angajamentului UE în favoarea </w:t>
      </w:r>
      <w:r w:rsidRPr="000F7C7D">
        <w:rPr>
          <w:rStyle w:val="Strong"/>
          <w:color w:val="404040"/>
        </w:rPr>
        <w:t>tranziției energetice verzi și juste la nivel mondial</w:t>
      </w:r>
      <w:r w:rsidRPr="000F7C7D">
        <w:rPr>
          <w:rFonts w:ascii="Verdana" w:hAnsi="Verdana"/>
          <w:color w:val="404040"/>
          <w:sz w:val="18"/>
          <w:szCs w:val="18"/>
        </w:rPr>
        <w:t>, susținând creșterea economiilor de energie și a eficienței energetice pentru a reduce presiunea asupra prețurilor, stimulând dezvoltarea surselor regenerabile de energie și a hidrogenului și intensificând diplomația energetică. Se prevede dezvoltarea unor coridoare majore pentru hidrogen în Marea Mediterană și Marea Nordului. În fața agresiunii Rusiei, UE va </w:t>
      </w:r>
      <w:r w:rsidRPr="000F7C7D">
        <w:rPr>
          <w:rStyle w:val="Strong"/>
          <w:color w:val="404040"/>
        </w:rPr>
        <w:t>sprijini Ucraina, Moldova, Balcanii de Vest și țările din Parteneriatul estic, precum și partenerii noștri cei mai vulnerabili</w:t>
      </w:r>
      <w:r w:rsidRPr="000F7C7D">
        <w:rPr>
          <w:rFonts w:ascii="Verdana" w:hAnsi="Verdana"/>
          <w:color w:val="404040"/>
          <w:sz w:val="18"/>
          <w:szCs w:val="18"/>
        </w:rPr>
        <w:t>. Vom continua să colaborăm cu Ucraina pentru a asigura securitatea aprovizionării cu energie a acestei țări și buna funcționare a sectorului său energetic, pregătind totodată terenul pentru schimburile viitoare de energie electrică și de hidrogen din surse regenerabile și reconstruind sistemul energetic în cadrul inițiativei </w:t>
      </w:r>
      <w:r w:rsidRPr="000F7C7D">
        <w:rPr>
          <w:rStyle w:val="Strong"/>
          <w:color w:val="404040"/>
        </w:rPr>
        <w:t>REPowerUkraine</w:t>
      </w:r>
      <w:r w:rsidRPr="000F7C7D">
        <w:rPr>
          <w:rFonts w:ascii="Verdana" w:hAnsi="Verdana"/>
          <w:color w:val="404040"/>
          <w:sz w:val="18"/>
          <w:szCs w:val="18"/>
        </w:rPr>
        <w:t>.</w:t>
      </w:r>
    </w:p>
    <w:p w14:paraId="1D87BC8A"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Accelerarea dezvoltării energiei din surse regenerabile</w:t>
      </w:r>
    </w:p>
    <w:p w14:paraId="7B58C056"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Extinderea și accelerarea</w:t>
      </w:r>
      <w:r w:rsidRPr="000F7C7D">
        <w:rPr>
          <w:rFonts w:ascii="Verdana" w:hAnsi="Verdana"/>
          <w:color w:val="404040"/>
          <w:sz w:val="18"/>
          <w:szCs w:val="18"/>
        </w:rPr>
        <w:t> masivă a </w:t>
      </w:r>
      <w:r w:rsidRPr="000F7C7D">
        <w:rPr>
          <w:rStyle w:val="Strong"/>
          <w:color w:val="404040"/>
        </w:rPr>
        <w:t>utilizării energiei din surse regenerabile</w:t>
      </w:r>
      <w:r w:rsidRPr="000F7C7D">
        <w:rPr>
          <w:rFonts w:ascii="Verdana" w:hAnsi="Verdana"/>
          <w:color w:val="404040"/>
          <w:sz w:val="18"/>
          <w:szCs w:val="18"/>
        </w:rPr>
        <w:t> pentru producția de energie electrică, în industrie, în sectorul clădirilor și al transporturilor ne va permite să ne dobândim mai curând independența, vor impulsiona tranziția verde și vor reduce prețurile în timp. Comisia propune </w:t>
      </w:r>
      <w:r w:rsidRPr="000F7C7D">
        <w:rPr>
          <w:rStyle w:val="Strong"/>
          <w:color w:val="404040"/>
        </w:rPr>
        <w:t>majorarea de la 40 % la 45 % a obiectivului principal pentru 2030 referitor la ponderea energiei din surse regenerabile, prevăzut în pachetul „Pregătiți pentru 55”</w:t>
      </w:r>
      <w:r w:rsidRPr="000F7C7D">
        <w:rPr>
          <w:rFonts w:ascii="Verdana" w:hAnsi="Verdana"/>
          <w:color w:val="404040"/>
          <w:sz w:val="18"/>
          <w:szCs w:val="18"/>
        </w:rPr>
        <w:t>. Acest obiectiv general mai ambițios va crea condiții favorabile pentru lansarea și a altor inițiative, printre care se numără:</w:t>
      </w:r>
    </w:p>
    <w:p w14:paraId="16D7AB04" w14:textId="57966AE1" w:rsidR="00E40250" w:rsidRPr="000F7C7D" w:rsidRDefault="00E40250" w:rsidP="000F7C7D">
      <w:pPr>
        <w:numPr>
          <w:ilvl w:val="0"/>
          <w:numId w:val="19"/>
        </w:numPr>
        <w:ind w:left="0"/>
        <w:rPr>
          <w:color w:val="404040"/>
          <w:szCs w:val="18"/>
        </w:rPr>
      </w:pPr>
      <w:r w:rsidRPr="000F7C7D">
        <w:rPr>
          <w:color w:val="404040"/>
          <w:szCs w:val="18"/>
        </w:rPr>
        <w:lastRenderedPageBreak/>
        <w:t>O </w:t>
      </w:r>
      <w:hyperlink r:id="rId131" w:history="1">
        <w:r w:rsidRPr="000F7C7D">
          <w:rPr>
            <w:rStyle w:val="Hyperlink"/>
            <w:rFonts w:cs="Arial"/>
            <w:b/>
            <w:bCs/>
            <w:color w:val="004494"/>
          </w:rPr>
          <w:t>strategie a UE în domeniul energiei solare</w:t>
        </w:r>
      </w:hyperlink>
      <w:hyperlink r:id="rId132" w:history="1"/>
      <w:r w:rsidRPr="000F7C7D">
        <w:rPr>
          <w:rStyle w:val="Strong"/>
          <w:color w:val="404040"/>
        </w:rPr>
        <w:t> care va urmări dublarea capacității solare fotovoltaice</w:t>
      </w:r>
      <w:r w:rsidRPr="000F7C7D">
        <w:rPr>
          <w:color w:val="404040"/>
          <w:szCs w:val="18"/>
        </w:rPr>
        <w:t> până în 2025 și instalarea a 600 GW până în 2030</w:t>
      </w:r>
    </w:p>
    <w:p w14:paraId="6AC87106" w14:textId="77777777" w:rsidR="00E40250" w:rsidRPr="000F7C7D" w:rsidRDefault="00E40250" w:rsidP="000F7C7D">
      <w:pPr>
        <w:numPr>
          <w:ilvl w:val="0"/>
          <w:numId w:val="19"/>
        </w:numPr>
        <w:ind w:left="0"/>
        <w:rPr>
          <w:color w:val="404040"/>
          <w:szCs w:val="18"/>
        </w:rPr>
      </w:pPr>
      <w:r w:rsidRPr="000F7C7D">
        <w:rPr>
          <w:color w:val="404040"/>
          <w:szCs w:val="18"/>
        </w:rPr>
        <w:t>O </w:t>
      </w:r>
      <w:r w:rsidRPr="000F7C7D">
        <w:rPr>
          <w:rStyle w:val="Strong"/>
          <w:color w:val="404040"/>
        </w:rPr>
        <w:t>inițiativă privind acoperișurile solare</w:t>
      </w:r>
      <w:r w:rsidRPr="000F7C7D">
        <w:rPr>
          <w:color w:val="404040"/>
          <w:szCs w:val="18"/>
        </w:rPr>
        <w:t>, care va include, pentru clădirile publice și comerciale noi și pentru clădirile rezidențiale noi, </w:t>
      </w:r>
      <w:r w:rsidRPr="000F7C7D">
        <w:rPr>
          <w:rStyle w:val="Strong"/>
          <w:color w:val="404040"/>
        </w:rPr>
        <w:t>obligația legală progresiv de a instala panouri solare</w:t>
      </w:r>
    </w:p>
    <w:p w14:paraId="26A4D257" w14:textId="77777777" w:rsidR="00E40250" w:rsidRPr="000F7C7D" w:rsidRDefault="00E40250" w:rsidP="000F7C7D">
      <w:pPr>
        <w:numPr>
          <w:ilvl w:val="0"/>
          <w:numId w:val="19"/>
        </w:numPr>
        <w:ind w:left="0"/>
        <w:rPr>
          <w:color w:val="404040"/>
          <w:szCs w:val="18"/>
        </w:rPr>
      </w:pPr>
      <w:r w:rsidRPr="000F7C7D">
        <w:rPr>
          <w:rStyle w:val="Strong"/>
          <w:color w:val="404040"/>
        </w:rPr>
        <w:t>Dublarea ritmului de instalare a pompelor de căldură</w:t>
      </w:r>
      <w:r w:rsidRPr="000F7C7D">
        <w:rPr>
          <w:color w:val="404040"/>
          <w:szCs w:val="18"/>
        </w:rPr>
        <w:t> și măsuri de integrare a energiei geotermale și solare termice în sistemele de termoficare centralizate și urbane modernizate</w:t>
      </w:r>
    </w:p>
    <w:p w14:paraId="1C262175" w14:textId="453E7324" w:rsidR="00E40250" w:rsidRPr="000F7C7D" w:rsidRDefault="00E40250" w:rsidP="000F7C7D">
      <w:pPr>
        <w:numPr>
          <w:ilvl w:val="0"/>
          <w:numId w:val="19"/>
        </w:numPr>
        <w:ind w:left="0"/>
        <w:rPr>
          <w:color w:val="404040"/>
          <w:szCs w:val="18"/>
        </w:rPr>
      </w:pPr>
      <w:r w:rsidRPr="000F7C7D">
        <w:rPr>
          <w:color w:val="404040"/>
          <w:szCs w:val="18"/>
        </w:rPr>
        <w:t>O </w:t>
      </w:r>
      <w:hyperlink r:id="rId133" w:history="1">
        <w:r w:rsidRPr="000F7C7D">
          <w:rPr>
            <w:rStyle w:val="Hyperlink"/>
            <w:rFonts w:cs="Arial"/>
            <w:color w:val="004494"/>
          </w:rPr>
          <w:t>recomandare</w:t>
        </w:r>
      </w:hyperlink>
      <w:hyperlink r:id="rId134" w:history="1"/>
      <w:r w:rsidRPr="000F7C7D">
        <w:rPr>
          <w:color w:val="404040"/>
          <w:szCs w:val="18"/>
        </w:rPr>
        <w:t> a Comisiei care să </w:t>
      </w:r>
      <w:r w:rsidRPr="000F7C7D">
        <w:rPr>
          <w:rStyle w:val="Strong"/>
          <w:color w:val="404040"/>
        </w:rPr>
        <w:t>abordeze problema procesului lent și complex de autorizare a proiectelor majore în domeniul energiei din surse regenerabile</w:t>
      </w:r>
      <w:r w:rsidRPr="000F7C7D">
        <w:rPr>
          <w:color w:val="404040"/>
          <w:szCs w:val="18"/>
        </w:rPr>
        <w:t> și o </w:t>
      </w:r>
      <w:hyperlink r:id="rId135" w:history="1">
        <w:r w:rsidRPr="000F7C7D">
          <w:rPr>
            <w:rStyle w:val="Hyperlink"/>
            <w:rFonts w:cs="Arial"/>
            <w:color w:val="004494"/>
          </w:rPr>
          <w:t>modificare punctuală a Directivei privind energia din surse regenerabile</w:t>
        </w:r>
      </w:hyperlink>
      <w:hyperlink r:id="rId136" w:history="1"/>
      <w:r w:rsidRPr="000F7C7D">
        <w:rPr>
          <w:color w:val="404040"/>
          <w:szCs w:val="18"/>
        </w:rPr>
        <w:t> care să recunoască energia din surse regenerabile drept un interes public major. Statele membre ar trebui să instituite </w:t>
      </w:r>
      <w:r w:rsidRPr="000F7C7D">
        <w:rPr>
          <w:rStyle w:val="Strong"/>
          <w:color w:val="404040"/>
        </w:rPr>
        <w:t>zone prioritare specifice pentru energia din surse regenerabile</w:t>
      </w:r>
      <w:r w:rsidRPr="000F7C7D">
        <w:rPr>
          <w:color w:val="404040"/>
          <w:szCs w:val="18"/>
        </w:rPr>
        <w:t> și să prevadă </w:t>
      </w:r>
      <w:r w:rsidRPr="000F7C7D">
        <w:rPr>
          <w:rStyle w:val="Strong"/>
          <w:color w:val="404040"/>
        </w:rPr>
        <w:t>procese de autorizare simplificate și mai scurte</w:t>
      </w:r>
      <w:r w:rsidRPr="000F7C7D">
        <w:rPr>
          <w:color w:val="404040"/>
          <w:szCs w:val="18"/>
        </w:rPr>
        <w:t> în zonele cu riscuri de mediu mai scăzute. Pentru a contribui la identificarea rapidă a unor astfel de zone prioritare, Comisia pune la dispoziție seturi de date privind zonele sensibile din punctul de vedere al mediului în cadrul </w:t>
      </w:r>
      <w:hyperlink r:id="rId137" w:history="1">
        <w:r w:rsidRPr="000F7C7D">
          <w:rPr>
            <w:rStyle w:val="Hyperlink"/>
            <w:rFonts w:cs="Arial"/>
            <w:color w:val="004494"/>
          </w:rPr>
          <w:t>instrumentului său digital de cartografiere</w:t>
        </w:r>
      </w:hyperlink>
      <w:hyperlink r:id="rId138" w:history="1"/>
      <w:r w:rsidRPr="000F7C7D">
        <w:rPr>
          <w:color w:val="404040"/>
          <w:szCs w:val="18"/>
        </w:rPr>
        <w:t> pentru datele geografice legate de energie, industrie și infrastructură.</w:t>
      </w:r>
    </w:p>
    <w:p w14:paraId="7DDE54C6" w14:textId="77777777" w:rsidR="00E40250" w:rsidRPr="000F7C7D" w:rsidRDefault="00E40250" w:rsidP="000F7C7D">
      <w:pPr>
        <w:numPr>
          <w:ilvl w:val="0"/>
          <w:numId w:val="19"/>
        </w:numPr>
        <w:ind w:left="0"/>
        <w:rPr>
          <w:color w:val="404040"/>
          <w:szCs w:val="18"/>
        </w:rPr>
      </w:pPr>
      <w:r w:rsidRPr="000F7C7D">
        <w:rPr>
          <w:rStyle w:val="Strong"/>
          <w:color w:val="404040"/>
        </w:rPr>
        <w:t>Stabilirea obiectivului pentru 2030 de a produce 10 milioane de tone de hidrogen din surse regenerabile în interiorul UE</w:t>
      </w:r>
      <w:r w:rsidRPr="000F7C7D">
        <w:rPr>
          <w:color w:val="404040"/>
          <w:szCs w:val="18"/>
        </w:rPr>
        <w:t> și 10 milioane de tone provenit din importuri pentru a înlocui gazele naturale, cărbunele și petrolul în industriile greu de decarbonizat și în sectoarele transporturilor Pentru a accelera dezvoltarea pieței hidrogenului, colegiuitorii ar trebui să convină asupra unor obiective secundare mai ambițioase pentru anumite sectoare. Comisia publică, de asemenea, </w:t>
      </w:r>
      <w:r w:rsidRPr="000F7C7D">
        <w:rPr>
          <w:rStyle w:val="Strong"/>
          <w:color w:val="404040"/>
        </w:rPr>
        <w:t>două acte delegate privind definirea și producerea hidrogenului din surse regenerabile</w:t>
      </w:r>
      <w:r w:rsidRPr="000F7C7D">
        <w:rPr>
          <w:color w:val="404040"/>
          <w:szCs w:val="18"/>
        </w:rPr>
        <w:t> pentru a se asigura că producția creează premisele pentru o decarbonizare netă. Pentru a accelera dezvoltarea proiectelor bazate pe hidrogen, o sumă suplimentară de 200 de milioane EUR va fi rezervată pentru cercetare, iar Comisia se angajează să finalizeze evaluarea primelor proiecte importante de interes european comun până în vara acestui an.</w:t>
      </w:r>
    </w:p>
    <w:p w14:paraId="556736E0" w14:textId="2AA5B7EF" w:rsidR="00E40250" w:rsidRPr="000F7C7D" w:rsidRDefault="00E40250" w:rsidP="000F7C7D">
      <w:pPr>
        <w:numPr>
          <w:ilvl w:val="0"/>
          <w:numId w:val="19"/>
        </w:numPr>
        <w:ind w:left="0"/>
        <w:rPr>
          <w:color w:val="404040"/>
          <w:szCs w:val="18"/>
        </w:rPr>
      </w:pPr>
      <w:r w:rsidRPr="000F7C7D">
        <w:rPr>
          <w:color w:val="404040"/>
          <w:szCs w:val="18"/>
        </w:rPr>
        <w:t>Un </w:t>
      </w:r>
      <w:hyperlink r:id="rId139" w:history="1">
        <w:r w:rsidRPr="000F7C7D">
          <w:rPr>
            <w:rStyle w:val="Hyperlink"/>
            <w:rFonts w:cs="Arial"/>
            <w:b/>
            <w:bCs/>
            <w:color w:val="004494"/>
          </w:rPr>
          <w:t>Plan de acțiune privind biometanul</w:t>
        </w:r>
      </w:hyperlink>
      <w:hyperlink r:id="rId140" w:history="1"/>
      <w:r w:rsidRPr="000F7C7D">
        <w:rPr>
          <w:color w:val="404040"/>
          <w:szCs w:val="18"/>
        </w:rPr>
        <w:t> descrie mai multe instrumente, inclusiv o nouă alianță industrială privind biometanul și stimulente financiare, menite să mărească producția de biometan până la 35 de miliarde de metri cubi până în 2030, inclusiv în cadrul politicii agricole comune.</w:t>
      </w:r>
    </w:p>
    <w:p w14:paraId="73B10E75"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Reducerea consumului de combustibili fosili în industrie și în sectorul transporturilor</w:t>
      </w:r>
    </w:p>
    <w:p w14:paraId="6A848B99"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Înlocuirea cărbunelui, a petrolului și a gazelor naturale în procesele industriale va reduce emisiile de gaze cu efect de seră și va consolida securitatea și competitivitatea. Economiile de energie, eficiența energetică, înlocuirea combustibililor fosili, electrificarea și utilizarea hidrogenului din surse regenerabile, a biogazului și a biometanului de către </w:t>
      </w:r>
      <w:r w:rsidRPr="000F7C7D">
        <w:rPr>
          <w:rStyle w:val="Strong"/>
          <w:color w:val="404040"/>
        </w:rPr>
        <w:t>industrie ar putea permite economisirea a până la 35 de miliarde de metri cubi de gaze naturale până în 2030</w:t>
      </w:r>
      <w:r w:rsidRPr="000F7C7D">
        <w:rPr>
          <w:rFonts w:ascii="Verdana" w:hAnsi="Verdana"/>
          <w:color w:val="404040"/>
          <w:sz w:val="18"/>
          <w:szCs w:val="18"/>
        </w:rPr>
        <w:t>, în plus față de economiile prevăzute în propunerile din pachetul legislativ „Pregătiți pentru 55”.</w:t>
      </w:r>
    </w:p>
    <w:p w14:paraId="79EC5867"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Comisia va încheia contracte pe diferență în materie de carbon pentru a sprijini utilizarea hidrogenului verde de către industrie și va acorda o finanțare specifică pentru REPowerEU în cadrul Fondului pentru inovare, </w:t>
      </w:r>
      <w:r w:rsidRPr="000F7C7D">
        <w:rPr>
          <w:rStyle w:val="Strong"/>
          <w:color w:val="404040"/>
        </w:rPr>
        <w:t>utilizând veniturile obținute din comercializarea certificatelor de emisii</w:t>
      </w:r>
      <w:r w:rsidRPr="000F7C7D">
        <w:rPr>
          <w:rFonts w:ascii="Verdana" w:hAnsi="Verdana"/>
          <w:color w:val="404040"/>
          <w:sz w:val="18"/>
          <w:szCs w:val="18"/>
        </w:rPr>
        <w:t> pentru a sprijini în continuare eliminarea dependenței de combustibilii fosili din Rusia. Comisia furnizează, de asemenea, </w:t>
      </w:r>
      <w:r w:rsidRPr="000F7C7D">
        <w:rPr>
          <w:rStyle w:val="Strong"/>
          <w:color w:val="404040"/>
        </w:rPr>
        <w:t>orientări cu privire la energia din surse regenerabile și contractele de achiziții de energie electrică</w:t>
      </w:r>
      <w:r w:rsidRPr="000F7C7D">
        <w:rPr>
          <w:rFonts w:ascii="Verdana" w:hAnsi="Verdana"/>
          <w:color w:val="404040"/>
          <w:sz w:val="18"/>
          <w:szCs w:val="18"/>
        </w:rPr>
        <w:t> și va oferi Băncii Europene de Investiții o facilitate de consultanță tehnică. Pentru a-și menține și a-și recâștiga poziția de lider tehnologic și industrial în domenii precum energia solară și hidrogenul și pentru a veni în sprijinul lucrătorilor, Comisia propune instituirea unei Alianțe UE pentru industria solară și a unui parteneriat la scară largă în materie de competențe. Comisia își va intensifica, de asemenea, activitatea în ceea ce privește aprovizionarea cu materii prime critice și va elabora o propunere legislativă în acest sens.</w:t>
      </w:r>
    </w:p>
    <w:p w14:paraId="7B084FDD"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Pentru </w:t>
      </w:r>
      <w:r w:rsidRPr="000F7C7D">
        <w:rPr>
          <w:rStyle w:val="Strong"/>
          <w:color w:val="404040"/>
        </w:rPr>
        <w:t>a spori economiile de energie și eficiența energetică în sectorul transporturilor</w:t>
      </w:r>
      <w:r w:rsidRPr="000F7C7D">
        <w:rPr>
          <w:rFonts w:ascii="Verdana" w:hAnsi="Verdana"/>
          <w:color w:val="404040"/>
          <w:sz w:val="18"/>
          <w:szCs w:val="18"/>
        </w:rPr>
        <w:t xml:space="preserve"> și pentru a accelera tranziția către vehiculele cu emisii zero, Comisia va prezenta un pachet privind înverzirea transportului de marfă care va viza sporirea semnificativă a eficienței energetice în acest sector și va avea în vedere o inițiativă legislativă prin care să se mărească ponderea vehiculelor cu emisii zero în parcurile de automobile ale instituțiilor publice și ale societăților private dincolo de o anumită mărime. Comunicarea UE privind economiile de energie include, de asemenea, numeroase recomandări destinate </w:t>
      </w:r>
      <w:r w:rsidRPr="000F7C7D">
        <w:rPr>
          <w:rFonts w:ascii="Verdana" w:hAnsi="Verdana"/>
          <w:color w:val="404040"/>
          <w:sz w:val="18"/>
          <w:szCs w:val="18"/>
        </w:rPr>
        <w:lastRenderedPageBreak/>
        <w:t>orașelor, regiunilor și autorităților naționale, care pot contribui în mod eficace la înlocuirea combustibililor fosili în sectorul transporturilor.</w:t>
      </w:r>
    </w:p>
    <w:p w14:paraId="08ECD995"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Investiții inteligente</w:t>
      </w:r>
    </w:p>
    <w:p w14:paraId="0163EC32"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Atingerea obiectivelor planului REPowerEU necesită </w:t>
      </w:r>
      <w:r w:rsidRPr="000F7C7D">
        <w:rPr>
          <w:rStyle w:val="Strong"/>
          <w:color w:val="404040"/>
        </w:rPr>
        <w:t>investiții suplimentare în valoare de 210 miliarde EUR</w:t>
      </w:r>
      <w:r w:rsidRPr="000F7C7D">
        <w:rPr>
          <w:rFonts w:ascii="Verdana" w:hAnsi="Verdana"/>
          <w:color w:val="404040"/>
          <w:sz w:val="18"/>
          <w:szCs w:val="18"/>
        </w:rPr>
        <w:t> până în 2027. Aceasta este un acont pentru a ne asigura independența și securitatea. Reducerea importurilor de combustibili fosili din Rusia poate genera, la rândul său, </w:t>
      </w:r>
      <w:r w:rsidRPr="000F7C7D">
        <w:rPr>
          <w:rStyle w:val="Strong"/>
          <w:color w:val="404040"/>
        </w:rPr>
        <w:t>economii de aproape 100 de miliarde EUR pe an</w:t>
      </w:r>
      <w:r w:rsidRPr="000F7C7D">
        <w:rPr>
          <w:rFonts w:ascii="Verdana" w:hAnsi="Verdana"/>
          <w:color w:val="404040"/>
          <w:sz w:val="18"/>
          <w:szCs w:val="18"/>
        </w:rPr>
        <w:t>. Aceste investiții trebuie realizate de sectorul privat și public, la nivel național, transfrontalier și la nivelul UE.</w:t>
      </w:r>
    </w:p>
    <w:p w14:paraId="7168DD14"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Pentru a sprijini punerea în aplicare a planului REPowerEU, </w:t>
      </w:r>
      <w:r w:rsidRPr="000F7C7D">
        <w:rPr>
          <w:rStyle w:val="Strong"/>
          <w:color w:val="404040"/>
        </w:rPr>
        <w:t>sunt deja disponibile în cadrul Mecanismului de redresare și reziliență 225 de miliarde EUR sub formă de împrumuturi</w:t>
      </w:r>
      <w:r w:rsidRPr="000F7C7D">
        <w:rPr>
          <w:rFonts w:ascii="Verdana" w:hAnsi="Verdana"/>
          <w:color w:val="404040"/>
          <w:sz w:val="18"/>
          <w:szCs w:val="18"/>
        </w:rPr>
        <w:t>. Comisia a adoptat astăzi acte legislative și orientări pentru statele membre cu privire la cum să modifice și să completeze planurile lor de redresare și reziliență în contextul REPowerEU. În plus, Comisia propune </w:t>
      </w:r>
      <w:r w:rsidRPr="000F7C7D">
        <w:rPr>
          <w:rStyle w:val="Strong"/>
          <w:color w:val="404040"/>
        </w:rPr>
        <w:t>majorarea pachetului financiar al Mecanismului de redresare și reziliență</w:t>
      </w:r>
      <w:r w:rsidRPr="000F7C7D">
        <w:rPr>
          <w:rFonts w:ascii="Verdana" w:hAnsi="Verdana"/>
          <w:color w:val="404040"/>
          <w:sz w:val="18"/>
          <w:szCs w:val="18"/>
        </w:rPr>
        <w:t> cu </w:t>
      </w:r>
      <w:r w:rsidRPr="000F7C7D">
        <w:rPr>
          <w:rStyle w:val="Strong"/>
          <w:color w:val="404040"/>
        </w:rPr>
        <w:t>20 de miliarde EUR sub formă de granturi provenite din vânzarea certificatelor de emisii în cadrul sistemului EU ETS</w:t>
      </w:r>
      <w:r w:rsidRPr="000F7C7D">
        <w:rPr>
          <w:rFonts w:ascii="Verdana" w:hAnsi="Verdana"/>
          <w:color w:val="404040"/>
          <w:sz w:val="18"/>
          <w:szCs w:val="18"/>
        </w:rPr>
        <w:t>, certificate care sunt deținute în prezent în rezerva pentru stabilitatea pieței și care urmează să fie scoase la licitație într-un mod care să nu perturbe piața. Sistemul de comercializare a certificatelor de emisii nu numai că reduce emisiile și utilizarea combustibililor fosili, ci pune la dispoziție și fondurile necesare pentru obținerea independenței noastre energetice.</w:t>
      </w:r>
    </w:p>
    <w:p w14:paraId="5EF63AD5"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În cadrul actualului CFM, politica de coeziune va sprijini deja proiectele de decarbonizare și de tranziție verde cu până la 100 de miliarde EUR prin investiții în energia din surse regenerabile, în hidrogen și în infrastructură. O sumă suplimentară de </w:t>
      </w:r>
      <w:r w:rsidRPr="000F7C7D">
        <w:rPr>
          <w:rStyle w:val="Strong"/>
          <w:color w:val="404040"/>
        </w:rPr>
        <w:t>26,9 miliarde EUR din fondurile de coeziune</w:t>
      </w:r>
      <w:r w:rsidRPr="000F7C7D">
        <w:rPr>
          <w:rFonts w:ascii="Verdana" w:hAnsi="Verdana"/>
          <w:color w:val="404040"/>
          <w:sz w:val="18"/>
          <w:szCs w:val="18"/>
        </w:rPr>
        <w:t> ar putea fi pusă la dispoziție prin transferuri voluntare către Mecanismul de redresare și reziliență. Alte </w:t>
      </w:r>
      <w:r w:rsidRPr="000F7C7D">
        <w:rPr>
          <w:rStyle w:val="Strong"/>
          <w:color w:val="404040"/>
        </w:rPr>
        <w:t>7,5 miliarde EUR din politica agricolă comună</w:t>
      </w:r>
      <w:r w:rsidRPr="000F7C7D">
        <w:rPr>
          <w:rFonts w:ascii="Verdana" w:hAnsi="Verdana"/>
          <w:color w:val="404040"/>
          <w:sz w:val="18"/>
          <w:szCs w:val="18"/>
        </w:rPr>
        <w:t> sunt puse, de asemenea, la dispoziție prin transferuri voluntare către Mecanismul de redresare și reziliență. Comisia va dubla în această toamnă finanțarea disponibilă pentru cererea de propuneri la scară largă din 2022 ce va fi lansată în cadrul Fondului pentru inovare, până la aproximativ 3 miliarde EUR.</w:t>
      </w:r>
    </w:p>
    <w:p w14:paraId="273BD86B"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Rețelele transeuropene de energie (TEN-E) au contribuit la crearea în UE a unei infrastructuri de gaze reziliente și interconectate. Este necesară o </w:t>
      </w:r>
      <w:r w:rsidRPr="000F7C7D">
        <w:rPr>
          <w:rStyle w:val="Strong"/>
          <w:color w:val="404040"/>
        </w:rPr>
        <w:t>infrastructură de gaze suplimentară limitată</w:t>
      </w:r>
      <w:r w:rsidRPr="000F7C7D">
        <w:rPr>
          <w:rFonts w:ascii="Verdana" w:hAnsi="Verdana"/>
          <w:color w:val="404040"/>
          <w:sz w:val="18"/>
          <w:szCs w:val="18"/>
        </w:rPr>
        <w:t>, care ar necesita investiții estimate la aproximativ 10 miliarde EUR, pentru a completa lista existentă a proiectelor de interes comun (PIC) și a </w:t>
      </w:r>
      <w:r w:rsidRPr="000F7C7D">
        <w:rPr>
          <w:rStyle w:val="Strong"/>
          <w:color w:val="404040"/>
        </w:rPr>
        <w:t>contrabalansa integral pierderea viitoare a importurilor de gaze din Rusia</w:t>
      </w:r>
      <w:r w:rsidRPr="000F7C7D">
        <w:rPr>
          <w:rFonts w:ascii="Verdana" w:hAnsi="Verdana"/>
          <w:color w:val="404040"/>
          <w:sz w:val="18"/>
          <w:szCs w:val="18"/>
        </w:rPr>
        <w:t>. Nevoile de înlocuire a combustibililor fosili cu care ne vom confrunta în deceniul următor pot fi satisfăcute fără a crea dependență față de combustibilii fosili, fără a crea active depreciate și fără ca obiectivele noastre ambițioase în materie de climă să aibă de suferit. Accelerarea implementării proiectelor de interes comun în domeniul energiei electrice va fi, de asemenea, esențială pentru adaptarea rețelei electrice la nevoile noastre viitoare. </w:t>
      </w:r>
      <w:r w:rsidRPr="000F7C7D">
        <w:rPr>
          <w:rStyle w:val="Strong"/>
          <w:color w:val="404040"/>
        </w:rPr>
        <w:t>Mecanismul pentru interconectarea Europei</w:t>
      </w:r>
      <w:r w:rsidRPr="000F7C7D">
        <w:rPr>
          <w:rFonts w:ascii="Verdana" w:hAnsi="Verdana"/>
          <w:color w:val="404040"/>
          <w:sz w:val="18"/>
          <w:szCs w:val="18"/>
        </w:rPr>
        <w:t> va susține acest demers, iar Comisia lansează astăzi o </w:t>
      </w:r>
      <w:r w:rsidRPr="000F7C7D">
        <w:rPr>
          <w:rStyle w:val="Strong"/>
          <w:color w:val="404040"/>
        </w:rPr>
        <w:t>nouă cerere de propuneri, cu un buget de 800 de milioane EUR</w:t>
      </w:r>
      <w:r w:rsidRPr="000F7C7D">
        <w:rPr>
          <w:rFonts w:ascii="Verdana" w:hAnsi="Verdana"/>
          <w:color w:val="404040"/>
          <w:sz w:val="18"/>
          <w:szCs w:val="18"/>
        </w:rPr>
        <w:t>, o altă cerere urmând să fie lansată la începutul anului 2023.</w:t>
      </w:r>
    </w:p>
    <w:p w14:paraId="3DEA4EF2"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Context</w:t>
      </w:r>
    </w:p>
    <w:p w14:paraId="60E37E17" w14:textId="7D317095"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La 8 martie 2022, Comisia a propus un </w:t>
      </w:r>
      <w:hyperlink r:id="rId141" w:history="1">
        <w:r w:rsidRPr="000F7C7D">
          <w:rPr>
            <w:rStyle w:val="Hyperlink"/>
            <w:rFonts w:cs="Arial"/>
            <w:color w:val="004494"/>
          </w:rPr>
          <w:t>prim proiect pentru un plan</w:t>
        </w:r>
      </w:hyperlink>
      <w:hyperlink r:id="rId142" w:history="1"/>
      <w:r w:rsidRPr="000F7C7D">
        <w:rPr>
          <w:rFonts w:ascii="Verdana" w:hAnsi="Verdana"/>
          <w:color w:val="404040"/>
          <w:sz w:val="18"/>
          <w:szCs w:val="18"/>
        </w:rPr>
        <w:t> prin ca Europa să devină independentă de combustibilii fosili din Rusia cu mult înainte de 2030, dată fiind invadarea Ucrainei de către Rusia. În cadrul Consiliului European din 24-25 martie, liderii UE au convenit asupra acestui obiectiv și au solicitat Comisiei să prezinte planul REPowerEU detaliat, care a fost adoptat astăzi. Recentele </w:t>
      </w:r>
      <w:hyperlink r:id="rId143" w:history="1">
        <w:r w:rsidRPr="000F7C7D">
          <w:rPr>
            <w:rStyle w:val="Hyperlink"/>
            <w:rFonts w:cs="Arial"/>
            <w:color w:val="004494"/>
          </w:rPr>
          <w:t>întreruperi ale livrărilor de gaze către Bulgaria și Polonia</w:t>
        </w:r>
      </w:hyperlink>
      <w:hyperlink r:id="rId144" w:history="1"/>
      <w:r w:rsidRPr="000F7C7D">
        <w:rPr>
          <w:rFonts w:ascii="Verdana" w:hAnsi="Verdana"/>
          <w:color w:val="404040"/>
          <w:sz w:val="18"/>
          <w:szCs w:val="18"/>
        </w:rPr>
        <w:t> demonstrează faptul că trebuie găsită urgent o soluție la problema lipsei de fiabilitate a livrărilor de energie din Rusia.</w:t>
      </w:r>
    </w:p>
    <w:p w14:paraId="126932F1" w14:textId="328E02F9"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Comisia a adoptat 5 pachete ample și fără precedent de </w:t>
      </w:r>
      <w:hyperlink r:id="rId145" w:history="1">
        <w:r w:rsidRPr="000F7C7D">
          <w:rPr>
            <w:rStyle w:val="Hyperlink"/>
            <w:rFonts w:cs="Arial"/>
            <w:color w:val="004494"/>
          </w:rPr>
          <w:t>sancțiuni</w:t>
        </w:r>
      </w:hyperlink>
      <w:hyperlink r:id="rId146" w:history="1"/>
      <w:r w:rsidRPr="000F7C7D">
        <w:rPr>
          <w:rFonts w:ascii="Verdana" w:hAnsi="Verdana"/>
          <w:color w:val="404040"/>
          <w:sz w:val="18"/>
          <w:szCs w:val="18"/>
        </w:rPr>
        <w:t> ca răspuns la actele de agresiune ale Rusiei împotriva integrității teritoriale a Ucrainei și la intensificarea atrocităților împotriva civililor și a orașelor ucrainene. Importurile de cărbune fac deja obiectul regimului de sancțiuni, iar Comisia a prezentat propuneri de eliminare treptată a petrolului până la sfârșitul acestui an, propuneri care sunt în prezent discutate de statele membre.</w:t>
      </w:r>
    </w:p>
    <w:p w14:paraId="68D40151" w14:textId="0E2D4C68" w:rsidR="00E40250" w:rsidRPr="000F7C7D" w:rsidRDefault="00E40250" w:rsidP="000F7C7D">
      <w:pPr>
        <w:pStyle w:val="NormalWeb"/>
        <w:spacing w:before="120" w:beforeAutospacing="0" w:after="0" w:afterAutospacing="0"/>
        <w:rPr>
          <w:rFonts w:ascii="Verdana" w:hAnsi="Verdana"/>
          <w:color w:val="404040"/>
          <w:sz w:val="18"/>
          <w:szCs w:val="18"/>
        </w:rPr>
      </w:pPr>
      <w:hyperlink r:id="rId147" w:history="1">
        <w:r w:rsidRPr="000F7C7D">
          <w:rPr>
            <w:rStyle w:val="Hyperlink"/>
            <w:rFonts w:cs="Arial"/>
            <w:color w:val="004494"/>
          </w:rPr>
          <w:t>Pactul verde european</w:t>
        </w:r>
      </w:hyperlink>
      <w:hyperlink r:id="rId148" w:history="1"/>
      <w:r w:rsidRPr="000F7C7D">
        <w:rPr>
          <w:rFonts w:ascii="Verdana" w:hAnsi="Verdana"/>
          <w:color w:val="404040"/>
          <w:sz w:val="18"/>
          <w:szCs w:val="18"/>
        </w:rPr>
        <w:t> este planul de creștere pe termen lung al UE menit să asigure neutralitatea climatică a Europei până în 2050. Acest obiectiv este înscris în </w:t>
      </w:r>
      <w:hyperlink r:id="rId149" w:history="1">
        <w:r w:rsidRPr="000F7C7D">
          <w:rPr>
            <w:rStyle w:val="Hyperlink"/>
            <w:rFonts w:cs="Arial"/>
            <w:color w:val="004494"/>
          </w:rPr>
          <w:t>Legea europeană a climei</w:t>
        </w:r>
      </w:hyperlink>
      <w:hyperlink r:id="rId150" w:history="1"/>
      <w:r w:rsidRPr="000F7C7D">
        <w:rPr>
          <w:rFonts w:ascii="Verdana" w:hAnsi="Verdana"/>
          <w:color w:val="404040"/>
          <w:sz w:val="18"/>
          <w:szCs w:val="18"/>
        </w:rPr>
        <w:t xml:space="preserve">, precum și în angajamentul obligatoriu din punct de vedere juridic de a reduce emisiile nete de gaze cu efect de seră cu cel puțin 55 % până în 2030, comparativ cu nivelurile din 1990. Comisia a prezentat pachetul </w:t>
      </w:r>
      <w:r w:rsidRPr="000F7C7D">
        <w:rPr>
          <w:rFonts w:ascii="Verdana" w:hAnsi="Verdana"/>
          <w:color w:val="404040"/>
          <w:sz w:val="18"/>
          <w:szCs w:val="18"/>
        </w:rPr>
        <w:lastRenderedPageBreak/>
        <w:t>legislativ „</w:t>
      </w:r>
      <w:hyperlink r:id="rId151" w:history="1">
        <w:r w:rsidRPr="000F7C7D">
          <w:rPr>
            <w:rStyle w:val="Hyperlink"/>
            <w:rFonts w:cs="Arial"/>
            <w:color w:val="004494"/>
          </w:rPr>
          <w:t>Pregătiți pentru 55</w:t>
        </w:r>
      </w:hyperlink>
      <w:hyperlink r:id="rId152" w:history="1"/>
      <w:r w:rsidRPr="000F7C7D">
        <w:rPr>
          <w:rFonts w:ascii="Verdana" w:hAnsi="Verdana"/>
          <w:color w:val="404040"/>
          <w:sz w:val="18"/>
          <w:szCs w:val="18"/>
        </w:rPr>
        <w:t>” în iulie 2021 cu scopul de a pune în aplicare aceste obiective; aceste propuneri ar reduce consumul nostru de gaze cu 30 % până în 2030, peste o treime din aceste economii provenind din îndeplinirea obiectivului UE în materie de eficiență energetică.</w:t>
      </w:r>
    </w:p>
    <w:p w14:paraId="2843825A" w14:textId="7AD8EAB9"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La 25 ianuarie 2021, Consiliul European a invitat Comisia și Înaltul Reprezentant să pregătească o nouă </w:t>
      </w:r>
      <w:hyperlink r:id="rId153" w:history="1">
        <w:r w:rsidRPr="000F7C7D">
          <w:rPr>
            <w:rStyle w:val="Hyperlink"/>
            <w:rFonts w:cs="Arial"/>
            <w:color w:val="004494"/>
          </w:rPr>
          <w:t>strategie externă în domeniul energiei</w:t>
        </w:r>
      </w:hyperlink>
      <w:hyperlink r:id="rId154" w:history="1"/>
      <w:r w:rsidRPr="000F7C7D">
        <w:rPr>
          <w:rFonts w:ascii="Verdana" w:hAnsi="Verdana"/>
          <w:color w:val="404040"/>
          <w:sz w:val="18"/>
          <w:szCs w:val="18"/>
        </w:rPr>
        <w:t>. Strategia asigură legătura dintre securitatea energetică și tranziția mondială către o energie curată prin intermediul politicii energetice externe și al diplomației, răspunzând astfel crizei energetice create de invadarea Ucrainei de către Rusia și amenințării existențiale reprezentată de schimbările climatice. UE va continua să sprijine securitatea energetică și tranziția verde a Ucrainei, a Moldovei și a țărilor partenere din vecinătatea sa imediată. Strategia recunoaște faptul că invadarea Ucrainei de către Rusia are un impact asupra piețelor energiei din întreaga lume, afectând în special țările partenere în curs de dezvoltare. UE va continua să ofere sprijin pentru o energie sigură, durabilă și la prețuri accesibile la nivel mondial.</w:t>
      </w:r>
    </w:p>
    <w:p w14:paraId="40EC8F30"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Pentru informații suplimentare</w:t>
      </w:r>
    </w:p>
    <w:p w14:paraId="4E3DEBC5" w14:textId="6EB1BD35" w:rsidR="00E40250" w:rsidRPr="000F7C7D" w:rsidRDefault="00E40250" w:rsidP="000F7C7D">
      <w:pPr>
        <w:pStyle w:val="NormalWeb"/>
        <w:spacing w:before="120" w:beforeAutospacing="0" w:after="0" w:afterAutospacing="0"/>
        <w:rPr>
          <w:rFonts w:ascii="Verdana" w:hAnsi="Verdana"/>
          <w:color w:val="404040"/>
          <w:sz w:val="18"/>
          <w:szCs w:val="18"/>
        </w:rPr>
      </w:pPr>
      <w:hyperlink r:id="rId155" w:history="1">
        <w:r w:rsidRPr="000F7C7D">
          <w:rPr>
            <w:rStyle w:val="Hyperlink"/>
            <w:rFonts w:cs="Arial"/>
            <w:color w:val="004494"/>
          </w:rPr>
          <w:t>Comunicarea REPowerEU</w:t>
        </w:r>
      </w:hyperlink>
      <w:hyperlink r:id="rId156" w:history="1"/>
    </w:p>
    <w:p w14:paraId="388ABB69" w14:textId="33B479CA" w:rsidR="00E40250" w:rsidRPr="000F7C7D" w:rsidRDefault="00E40250" w:rsidP="000F7C7D">
      <w:pPr>
        <w:pStyle w:val="NormalWeb"/>
        <w:spacing w:before="120" w:beforeAutospacing="0" w:after="0" w:afterAutospacing="0"/>
        <w:rPr>
          <w:rFonts w:ascii="Verdana" w:hAnsi="Verdana"/>
          <w:color w:val="404040"/>
          <w:sz w:val="18"/>
          <w:szCs w:val="18"/>
        </w:rPr>
      </w:pPr>
      <w:hyperlink r:id="rId157" w:history="1">
        <w:r w:rsidRPr="000F7C7D">
          <w:rPr>
            <w:rStyle w:val="Hyperlink"/>
            <w:rFonts w:cs="Arial"/>
            <w:color w:val="004494"/>
          </w:rPr>
          <w:t>Anexele la Comunicarea REPowerEU</w:t>
        </w:r>
      </w:hyperlink>
      <w:hyperlink r:id="rId158" w:history="1"/>
    </w:p>
    <w:p w14:paraId="3D4472A0" w14:textId="0D14D850" w:rsidR="00E40250" w:rsidRPr="000F7C7D" w:rsidRDefault="00E40250" w:rsidP="000F7C7D">
      <w:pPr>
        <w:pStyle w:val="NormalWeb"/>
        <w:spacing w:before="120" w:beforeAutospacing="0" w:after="0" w:afterAutospacing="0"/>
        <w:rPr>
          <w:rFonts w:ascii="Verdana" w:hAnsi="Verdana"/>
          <w:color w:val="404040"/>
          <w:sz w:val="18"/>
          <w:szCs w:val="18"/>
        </w:rPr>
      </w:pPr>
      <w:hyperlink r:id="rId159" w:history="1">
        <w:r w:rsidRPr="000F7C7D">
          <w:rPr>
            <w:rStyle w:val="Hyperlink"/>
            <w:rFonts w:cs="Arial"/>
            <w:color w:val="004494"/>
          </w:rPr>
          <w:t>Documentul de lucru al serviciilor Comisiei: Nevoile de investiții, acceleratorul de hidrogen și planul privind biometanul</w:t>
        </w:r>
      </w:hyperlink>
      <w:hyperlink r:id="rId160" w:history="1"/>
    </w:p>
    <w:p w14:paraId="05EE48E8" w14:textId="2DB104A3" w:rsidR="00E40250" w:rsidRPr="000F7C7D" w:rsidRDefault="00E40250" w:rsidP="000F7C7D">
      <w:pPr>
        <w:pStyle w:val="NormalWeb"/>
        <w:spacing w:before="120" w:beforeAutospacing="0" w:after="0" w:afterAutospacing="0"/>
        <w:rPr>
          <w:rFonts w:ascii="Verdana" w:hAnsi="Verdana"/>
          <w:color w:val="404040"/>
          <w:sz w:val="18"/>
          <w:szCs w:val="18"/>
        </w:rPr>
      </w:pPr>
      <w:hyperlink r:id="rId161" w:history="1">
        <w:r w:rsidRPr="000F7C7D">
          <w:rPr>
            <w:rStyle w:val="Hyperlink"/>
            <w:rFonts w:cs="Arial"/>
            <w:color w:val="004494"/>
          </w:rPr>
          <w:t>Comunicarea UE privind economiile de energie</w:t>
        </w:r>
      </w:hyperlink>
      <w:hyperlink r:id="rId162" w:history="1"/>
    </w:p>
    <w:p w14:paraId="216FAB86" w14:textId="7B0BBB46" w:rsidR="00E40250" w:rsidRPr="000F7C7D" w:rsidRDefault="00E40250" w:rsidP="000F7C7D">
      <w:pPr>
        <w:pStyle w:val="NormalWeb"/>
        <w:spacing w:before="120" w:beforeAutospacing="0" w:after="0" w:afterAutospacing="0"/>
        <w:rPr>
          <w:rFonts w:ascii="Verdana" w:hAnsi="Verdana"/>
          <w:color w:val="404040"/>
          <w:sz w:val="18"/>
          <w:szCs w:val="18"/>
        </w:rPr>
      </w:pPr>
      <w:hyperlink r:id="rId163" w:history="1">
        <w:r w:rsidRPr="000F7C7D">
          <w:rPr>
            <w:rStyle w:val="Hyperlink"/>
            <w:rFonts w:cs="Arial"/>
            <w:color w:val="004494"/>
          </w:rPr>
          <w:t>Strategia UE privind implicarea externă în domeniul energiei</w:t>
        </w:r>
      </w:hyperlink>
      <w:hyperlink r:id="rId164" w:history="1"/>
    </w:p>
    <w:p w14:paraId="5413F2D8" w14:textId="0C1C7960" w:rsidR="00E40250" w:rsidRPr="000F7C7D" w:rsidRDefault="00E40250" w:rsidP="000F7C7D">
      <w:pPr>
        <w:pStyle w:val="NormalWeb"/>
        <w:spacing w:before="120" w:beforeAutospacing="0" w:after="0" w:afterAutospacing="0"/>
        <w:rPr>
          <w:rFonts w:ascii="Verdana" w:hAnsi="Verdana"/>
          <w:color w:val="404040"/>
          <w:sz w:val="18"/>
          <w:szCs w:val="18"/>
        </w:rPr>
      </w:pPr>
      <w:hyperlink r:id="rId165" w:history="1">
        <w:r w:rsidRPr="000F7C7D">
          <w:rPr>
            <w:rStyle w:val="Hyperlink"/>
            <w:rFonts w:cs="Arial"/>
            <w:color w:val="004494"/>
          </w:rPr>
          <w:t>Strategia UE privind energia solară</w:t>
        </w:r>
      </w:hyperlink>
      <w:hyperlink r:id="rId166" w:history="1"/>
    </w:p>
    <w:p w14:paraId="1C582708" w14:textId="73BB1DF8" w:rsidR="00E40250" w:rsidRPr="000F7C7D" w:rsidRDefault="00E40250" w:rsidP="000F7C7D">
      <w:pPr>
        <w:pStyle w:val="NormalWeb"/>
        <w:spacing w:before="120" w:beforeAutospacing="0" w:after="0" w:afterAutospacing="0"/>
        <w:rPr>
          <w:rFonts w:ascii="Verdana" w:hAnsi="Verdana"/>
          <w:color w:val="404040"/>
          <w:sz w:val="18"/>
          <w:szCs w:val="18"/>
        </w:rPr>
      </w:pPr>
      <w:hyperlink r:id="rId167" w:history="1">
        <w:r w:rsidRPr="000F7C7D">
          <w:rPr>
            <w:rStyle w:val="Hyperlink"/>
            <w:rFonts w:cs="Arial"/>
            <w:color w:val="004494"/>
          </w:rPr>
          <w:t>Modificări ale Directivei privind energia din surse regenerabile, ale Directivei privind performanța energetică a clădirilor și ale Directivei privind eficiența energetică</w:t>
        </w:r>
      </w:hyperlink>
      <w:hyperlink r:id="rId168" w:history="1"/>
    </w:p>
    <w:p w14:paraId="7CDE1A38" w14:textId="6C79BA0A" w:rsidR="00E40250" w:rsidRPr="000F7C7D" w:rsidRDefault="00E40250" w:rsidP="000F7C7D">
      <w:pPr>
        <w:pStyle w:val="NormalWeb"/>
        <w:spacing w:before="120" w:beforeAutospacing="0" w:after="0" w:afterAutospacing="0"/>
        <w:rPr>
          <w:rFonts w:ascii="Verdana" w:hAnsi="Verdana"/>
          <w:color w:val="404040"/>
          <w:sz w:val="18"/>
          <w:szCs w:val="18"/>
        </w:rPr>
      </w:pPr>
      <w:hyperlink r:id="rId169" w:history="1">
        <w:r w:rsidRPr="000F7C7D">
          <w:rPr>
            <w:rStyle w:val="Hyperlink"/>
            <w:rFonts w:cs="Arial"/>
            <w:color w:val="004494"/>
          </w:rPr>
          <w:t>Recomandarea privind procedurile de autorizare și contractele de achiziție de energie electrică</w:t>
        </w:r>
      </w:hyperlink>
      <w:hyperlink r:id="rId170" w:history="1"/>
    </w:p>
    <w:p w14:paraId="6FA0DF03" w14:textId="3B68FE9D" w:rsidR="00E40250" w:rsidRPr="000F7C7D" w:rsidRDefault="00E40250" w:rsidP="000F7C7D">
      <w:pPr>
        <w:pStyle w:val="NormalWeb"/>
        <w:spacing w:before="120" w:beforeAutospacing="0" w:after="0" w:afterAutospacing="0"/>
        <w:rPr>
          <w:rFonts w:ascii="Verdana" w:hAnsi="Verdana"/>
          <w:color w:val="404040"/>
          <w:sz w:val="18"/>
          <w:szCs w:val="18"/>
        </w:rPr>
      </w:pPr>
      <w:hyperlink r:id="rId171" w:history="1">
        <w:r w:rsidRPr="000F7C7D">
          <w:rPr>
            <w:rStyle w:val="Hyperlink"/>
            <w:rFonts w:cs="Arial"/>
            <w:color w:val="004494"/>
          </w:rPr>
          <w:t>Regulamentul de instituire a Mecanismului de redresare și reziliență</w:t>
        </w:r>
      </w:hyperlink>
      <w:hyperlink r:id="rId172" w:history="1"/>
    </w:p>
    <w:p w14:paraId="09985BEC" w14:textId="14E2F0B8" w:rsidR="00E40250" w:rsidRPr="000F7C7D" w:rsidRDefault="00E40250" w:rsidP="000F7C7D">
      <w:pPr>
        <w:pStyle w:val="NormalWeb"/>
        <w:spacing w:before="120" w:beforeAutospacing="0" w:after="0" w:afterAutospacing="0"/>
        <w:rPr>
          <w:rFonts w:ascii="Verdana" w:hAnsi="Verdana"/>
          <w:color w:val="404040"/>
          <w:sz w:val="18"/>
          <w:szCs w:val="18"/>
        </w:rPr>
      </w:pPr>
      <w:hyperlink r:id="rId173" w:history="1">
        <w:r w:rsidRPr="000F7C7D">
          <w:rPr>
            <w:rStyle w:val="Hyperlink"/>
            <w:rFonts w:cs="Arial"/>
            <w:color w:val="004494"/>
          </w:rPr>
          <w:t>Propunerea de regulament privind capitolele REPowerEU din planurile de redresare și reziliență</w:t>
        </w:r>
      </w:hyperlink>
      <w:hyperlink r:id="rId174" w:history="1"/>
    </w:p>
    <w:p w14:paraId="350B1A84" w14:textId="613989A6" w:rsidR="00E40250" w:rsidRPr="000F7C7D" w:rsidRDefault="00E40250" w:rsidP="000F7C7D">
      <w:pPr>
        <w:pStyle w:val="NormalWeb"/>
        <w:spacing w:before="120" w:beforeAutospacing="0" w:after="0" w:afterAutospacing="0"/>
        <w:rPr>
          <w:rFonts w:ascii="Verdana" w:hAnsi="Verdana"/>
          <w:color w:val="404040"/>
          <w:sz w:val="18"/>
          <w:szCs w:val="18"/>
        </w:rPr>
      </w:pPr>
      <w:hyperlink r:id="rId175" w:history="1">
        <w:r w:rsidRPr="000F7C7D">
          <w:rPr>
            <w:rStyle w:val="Hyperlink"/>
            <w:rFonts w:cs="Arial"/>
            <w:color w:val="004494"/>
          </w:rPr>
          <w:t>Orientări privind planurile de redresare și reziliență în contextul REPowerEU</w:t>
        </w:r>
      </w:hyperlink>
      <w:hyperlink r:id="rId176" w:history="1"/>
    </w:p>
    <w:p w14:paraId="0605131F" w14:textId="45FCA35A" w:rsidR="00E40250" w:rsidRPr="000F7C7D" w:rsidRDefault="00E40250" w:rsidP="000F7C7D">
      <w:pPr>
        <w:pStyle w:val="NormalWeb"/>
        <w:spacing w:before="120" w:beforeAutospacing="0" w:after="0" w:afterAutospacing="0"/>
        <w:rPr>
          <w:rFonts w:ascii="Verdana" w:hAnsi="Verdana"/>
          <w:color w:val="404040"/>
          <w:sz w:val="18"/>
          <w:szCs w:val="18"/>
        </w:rPr>
      </w:pPr>
      <w:hyperlink r:id="rId177" w:history="1">
        <w:r w:rsidRPr="000F7C7D">
          <w:rPr>
            <w:rStyle w:val="Hyperlink"/>
            <w:rFonts w:cs="Arial"/>
            <w:color w:val="004494"/>
          </w:rPr>
          <w:t>Întrebări și răspunsuri – Memo privind REPowerEU</w:t>
        </w:r>
      </w:hyperlink>
      <w:hyperlink r:id="rId178" w:history="1"/>
    </w:p>
    <w:p w14:paraId="0BBB4596" w14:textId="08139721" w:rsidR="00E40250" w:rsidRPr="000F7C7D" w:rsidRDefault="00E40250" w:rsidP="000F7C7D">
      <w:pPr>
        <w:pStyle w:val="NormalWeb"/>
        <w:spacing w:before="120" w:beforeAutospacing="0" w:after="0" w:afterAutospacing="0"/>
        <w:rPr>
          <w:rFonts w:ascii="Verdana" w:hAnsi="Verdana"/>
          <w:color w:val="404040"/>
          <w:sz w:val="18"/>
          <w:szCs w:val="18"/>
        </w:rPr>
      </w:pPr>
      <w:hyperlink r:id="rId179" w:history="1">
        <w:r w:rsidRPr="000F7C7D">
          <w:rPr>
            <w:rStyle w:val="Hyperlink"/>
            <w:rFonts w:cs="Arial"/>
            <w:color w:val="004494"/>
          </w:rPr>
          <w:t>Fișa informativă privind acțiunile REPowerEU</w:t>
        </w:r>
      </w:hyperlink>
      <w:hyperlink r:id="rId180" w:history="1"/>
    </w:p>
    <w:p w14:paraId="2A693D3F" w14:textId="729981E3" w:rsidR="00E40250" w:rsidRPr="000F7C7D" w:rsidRDefault="00E40250" w:rsidP="000F7C7D">
      <w:pPr>
        <w:pStyle w:val="NormalWeb"/>
        <w:spacing w:before="120" w:beforeAutospacing="0" w:after="0" w:afterAutospacing="0"/>
        <w:rPr>
          <w:rFonts w:ascii="Verdana" w:hAnsi="Verdana"/>
          <w:color w:val="404040"/>
          <w:sz w:val="18"/>
          <w:szCs w:val="18"/>
        </w:rPr>
      </w:pPr>
      <w:hyperlink r:id="rId181" w:history="1">
        <w:r w:rsidRPr="000F7C7D">
          <w:rPr>
            <w:rStyle w:val="Hyperlink"/>
            <w:rFonts w:cs="Arial"/>
            <w:color w:val="004494"/>
          </w:rPr>
          <w:t>Fișa informativă privind finanțarea REPowerEU</w:t>
        </w:r>
      </w:hyperlink>
      <w:hyperlink r:id="rId182" w:history="1"/>
    </w:p>
    <w:p w14:paraId="225F64BE" w14:textId="77629817" w:rsidR="00E40250" w:rsidRPr="000F7C7D" w:rsidRDefault="00E40250" w:rsidP="000F7C7D">
      <w:pPr>
        <w:pStyle w:val="NormalWeb"/>
        <w:spacing w:before="120" w:beforeAutospacing="0" w:after="0" w:afterAutospacing="0"/>
        <w:rPr>
          <w:rFonts w:ascii="Verdana" w:hAnsi="Verdana"/>
          <w:color w:val="404040"/>
          <w:sz w:val="18"/>
          <w:szCs w:val="18"/>
        </w:rPr>
      </w:pPr>
      <w:hyperlink r:id="rId183" w:history="1">
        <w:r w:rsidRPr="000F7C7D">
          <w:rPr>
            <w:rStyle w:val="Hyperlink"/>
            <w:rFonts w:cs="Arial"/>
            <w:color w:val="004494"/>
          </w:rPr>
          <w:t>Fișa informativă privind Strategia externă a UE în domeniul energiei</w:t>
        </w:r>
      </w:hyperlink>
      <w:hyperlink r:id="rId184" w:history="1"/>
    </w:p>
    <w:p w14:paraId="40A8921C" w14:textId="1C71B50D" w:rsidR="00E40250" w:rsidRPr="000F7C7D" w:rsidRDefault="00E40250" w:rsidP="000F7C7D">
      <w:pPr>
        <w:pStyle w:val="NormalWeb"/>
        <w:spacing w:before="120" w:beforeAutospacing="0" w:after="0" w:afterAutospacing="0"/>
        <w:rPr>
          <w:rFonts w:ascii="Verdana" w:hAnsi="Verdana"/>
          <w:color w:val="404040"/>
          <w:sz w:val="18"/>
          <w:szCs w:val="18"/>
        </w:rPr>
      </w:pPr>
      <w:hyperlink r:id="rId185" w:history="1">
        <w:r w:rsidRPr="000F7C7D">
          <w:rPr>
            <w:rStyle w:val="Hyperlink"/>
            <w:rFonts w:cs="Arial"/>
            <w:color w:val="004494"/>
          </w:rPr>
          <w:t>Fișa informativă privind economiile de energie</w:t>
        </w:r>
      </w:hyperlink>
      <w:hyperlink r:id="rId186" w:history="1"/>
    </w:p>
    <w:p w14:paraId="1DFA01C8" w14:textId="513B6F97" w:rsidR="00E40250" w:rsidRPr="000F7C7D" w:rsidRDefault="00E40250" w:rsidP="000F7C7D">
      <w:pPr>
        <w:pStyle w:val="NormalWeb"/>
        <w:spacing w:before="120" w:beforeAutospacing="0" w:after="0" w:afterAutospacing="0"/>
        <w:rPr>
          <w:rFonts w:ascii="Verdana" w:hAnsi="Verdana"/>
          <w:color w:val="404040"/>
          <w:sz w:val="18"/>
          <w:szCs w:val="18"/>
        </w:rPr>
      </w:pPr>
      <w:hyperlink r:id="rId187" w:history="1">
        <w:r w:rsidRPr="000F7C7D">
          <w:rPr>
            <w:rStyle w:val="Hyperlink"/>
            <w:rFonts w:cs="Arial"/>
            <w:color w:val="004494"/>
          </w:rPr>
          <w:t>Fișa informativă privind energia curată</w:t>
        </w:r>
      </w:hyperlink>
      <w:hyperlink r:id="rId188" w:history="1"/>
    </w:p>
    <w:p w14:paraId="1B2325AF" w14:textId="7034D2B6" w:rsidR="00E40250" w:rsidRPr="000F7C7D" w:rsidRDefault="00E40250" w:rsidP="000F7C7D">
      <w:pPr>
        <w:pStyle w:val="NormalWeb"/>
        <w:spacing w:before="120" w:beforeAutospacing="0" w:after="0" w:afterAutospacing="0"/>
        <w:rPr>
          <w:rFonts w:ascii="Verdana" w:hAnsi="Verdana"/>
          <w:color w:val="404040"/>
          <w:sz w:val="18"/>
          <w:szCs w:val="18"/>
        </w:rPr>
      </w:pPr>
      <w:hyperlink r:id="rId189" w:history="1">
        <w:r w:rsidRPr="000F7C7D">
          <w:rPr>
            <w:rStyle w:val="Hyperlink"/>
            <w:rFonts w:cs="Arial"/>
            <w:color w:val="004494"/>
          </w:rPr>
          <w:t>Fișa informativă privind industria curată</w:t>
        </w:r>
      </w:hyperlink>
      <w:hyperlink r:id="rId190" w:history="1"/>
    </w:p>
    <w:p w14:paraId="2E695DC0" w14:textId="35848EAC" w:rsidR="00E40250" w:rsidRPr="000F7C7D" w:rsidRDefault="00E40250" w:rsidP="000F7C7D">
      <w:pPr>
        <w:pStyle w:val="NormalWeb"/>
        <w:spacing w:before="120" w:beforeAutospacing="0" w:after="0" w:afterAutospacing="0"/>
        <w:rPr>
          <w:rFonts w:ascii="Verdana" w:hAnsi="Verdana"/>
          <w:color w:val="404040"/>
          <w:sz w:val="18"/>
          <w:szCs w:val="18"/>
        </w:rPr>
      </w:pPr>
      <w:hyperlink r:id="rId191" w:history="1">
        <w:r w:rsidRPr="000F7C7D">
          <w:rPr>
            <w:rStyle w:val="Hyperlink"/>
            <w:rFonts w:cs="Arial"/>
            <w:color w:val="004494"/>
          </w:rPr>
          <w:t>Material video privind REPowerEU</w:t>
        </w:r>
      </w:hyperlink>
      <w:hyperlink r:id="rId192" w:history="1"/>
    </w:p>
    <w:p w14:paraId="75F10603" w14:textId="1BDC33C8" w:rsidR="007073DC" w:rsidRPr="000F7C7D" w:rsidRDefault="00E40250" w:rsidP="00CD63E5">
      <w:pPr>
        <w:pStyle w:val="separatorarticole"/>
      </w:pPr>
      <w:r w:rsidRPr="000F7C7D">
        <w:t>*</w:t>
      </w:r>
    </w:p>
    <w:p w14:paraId="21D25F1B" w14:textId="77777777" w:rsidR="00E40250" w:rsidRPr="000F7C7D" w:rsidRDefault="00E40250" w:rsidP="00CD63E5">
      <w:pPr>
        <w:pStyle w:val="TitluArticolinINFOUE"/>
        <w:rPr>
          <w:lang w:eastAsia="ro-RO"/>
        </w:rPr>
      </w:pPr>
      <w:bookmarkStart w:id="170" w:name="_Toc104197298"/>
      <w:r w:rsidRPr="000F7C7D">
        <w:t>Piețele energiei: Comisia prezintă măsuri de urgență pe termen scurt și opțiuni pentru îmbunătățiri pe termen lung</w:t>
      </w:r>
      <w:bookmarkEnd w:id="170"/>
    </w:p>
    <w:p w14:paraId="1E97577E" w14:textId="77777777" w:rsidR="00E40250" w:rsidRPr="000F7C7D" w:rsidRDefault="00E40250" w:rsidP="000F7C7D">
      <w:pPr>
        <w:pStyle w:val="ecl-page-header-standardiseddescription"/>
        <w:shd w:val="clear" w:color="auto" w:fill="FFFFFF"/>
        <w:spacing w:before="120" w:beforeAutospacing="0" w:after="0" w:afterAutospacing="0"/>
        <w:rPr>
          <w:rFonts w:ascii="Verdana" w:hAnsi="Verdana" w:cs="Arial"/>
          <w:color w:val="404040"/>
          <w:sz w:val="18"/>
          <w:szCs w:val="18"/>
        </w:rPr>
      </w:pPr>
      <w:r w:rsidRPr="000F7C7D">
        <w:rPr>
          <w:rFonts w:ascii="Verdana" w:hAnsi="Verdana" w:cs="Arial"/>
          <w:color w:val="404040"/>
          <w:sz w:val="18"/>
          <w:szCs w:val="18"/>
        </w:rPr>
        <w:t>Comisia a prezentat ieri,18 mai, o serie de măsuri suplimentare pe termen lung pentru a contracara prețurile ridicate la energie și pentru a aborda posibilele întreruperi ale aprovizionării din Rusia. </w:t>
      </w:r>
    </w:p>
    <w:p w14:paraId="4FD58C3F"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 xml:space="preserve">Ca răspuns la prețurile excepțional de ridicate și de volatile la energie din ultimele luni, Comisia a prezentat ieri,18 mai, o serie de măsuri suplimentare pe termen lung pentru a contracara prețurile ridicate la energie și pentru a aborda posibilele întreruperi ale aprovizionării din Rusia. Comisia a prezentat, de asemenea, o serie de domenii în care organizarea pieței energiei electrice ar putea fi optimizată astfel încât să devină adecvată pentru tranziția de la combustibilii fosili și mai rezilientă la </w:t>
      </w:r>
      <w:r w:rsidRPr="000F7C7D">
        <w:rPr>
          <w:rFonts w:ascii="Verdana" w:hAnsi="Verdana"/>
          <w:color w:val="404040"/>
          <w:sz w:val="18"/>
          <w:szCs w:val="18"/>
        </w:rPr>
        <w:lastRenderedPageBreak/>
        <w:t>șocurile prețurilor, fiind totodată capabilă de a proteja consumatorii și de a livra energie electrică la prețuri accesibile.</w:t>
      </w:r>
    </w:p>
    <w:p w14:paraId="4E723869"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Comisarul pentru energie, Kadri </w:t>
      </w:r>
      <w:r w:rsidRPr="000F7C7D">
        <w:rPr>
          <w:rStyle w:val="Strong"/>
          <w:color w:val="404040"/>
        </w:rPr>
        <w:t>Simson</w:t>
      </w:r>
      <w:r w:rsidRPr="000F7C7D">
        <w:rPr>
          <w:rFonts w:ascii="Verdana" w:hAnsi="Verdana"/>
          <w:color w:val="404040"/>
          <w:sz w:val="18"/>
          <w:szCs w:val="18"/>
        </w:rPr>
        <w:t>, a declarat: „</w:t>
      </w:r>
      <w:r w:rsidRPr="000F7C7D">
        <w:rPr>
          <w:rStyle w:val="Emphasis"/>
          <w:color w:val="404040"/>
        </w:rPr>
        <w:t>UE a creat o piață funcțională și interconectată a energiei, care continuă să ne ofere o aprovizionare fiabilă cu energie și în situația dificilă de astăzi. Însă vremurile excepționale impun luarea unor măsuri excepționale, iar astăzi prezentăm măsuri suplimentare pe care statele membre le pot lua pentru a combate creșterea prețurilor. Întrucât Rusia își continuă războiul neprovocat din Ucraina, trebuie, de asemenea, să ne pregătim pentru eventualitatea unor întreruperi ale aprovizionării cu gaze și pentru impactul acestora, planificând măsuri de solidaritate și posibile intervenții la nivelul prețurilor. În paralel, avansăm în eforturile noastre de a îmbunătăți piața energiei electrice pentru a proteja mai bine consumatorii, pentru a reduce volatilitatea prețurilor și pentru sprijini în continuare tranziția verde.”</w:t>
      </w:r>
    </w:p>
    <w:p w14:paraId="0EEAE0B9"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Măsuri de intervenție pe termen scurt</w:t>
      </w:r>
    </w:p>
    <w:p w14:paraId="63BBE51C"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Comisia invită statele membre să utilizeze în continuare setul său de instrumente privind prețurile la energie, care conține măsuri de reducere a facturilor la energie plătite de consumatorii europeni. În plus, statele membre dispun de o serie de măsuri pe termen scurt pe care le pot utiliza atât în prezent, cât și în cursul următorului sezon de încălzire.</w:t>
      </w:r>
    </w:p>
    <w:p w14:paraId="3A513D16"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Emphasis"/>
          <w:b/>
          <w:bCs/>
          <w:color w:val="404040"/>
        </w:rPr>
        <w:t>Pe piețele gazelor:</w:t>
      </w:r>
    </w:p>
    <w:p w14:paraId="59A14DA2" w14:textId="77777777" w:rsidR="00E40250" w:rsidRPr="000F7C7D" w:rsidRDefault="00E40250" w:rsidP="00CD63E5">
      <w:pPr>
        <w:numPr>
          <w:ilvl w:val="0"/>
          <w:numId w:val="20"/>
        </w:numPr>
        <w:ind w:left="0" w:firstLine="0"/>
        <w:rPr>
          <w:color w:val="404040"/>
          <w:szCs w:val="18"/>
        </w:rPr>
      </w:pPr>
      <w:r w:rsidRPr="000F7C7D">
        <w:rPr>
          <w:color w:val="404040"/>
          <w:szCs w:val="18"/>
        </w:rPr>
        <w:t>Posibilitatea ca statele membre să extindă temporar reglementarea prețurilor pentru consumatorii finali la o gamă largă de clienți, inclusiv gospodăriile și industria.</w:t>
      </w:r>
    </w:p>
    <w:p w14:paraId="1C2C151F" w14:textId="77777777" w:rsidR="00E40250" w:rsidRPr="000F7C7D" w:rsidRDefault="00E40250" w:rsidP="00CD63E5">
      <w:pPr>
        <w:numPr>
          <w:ilvl w:val="0"/>
          <w:numId w:val="20"/>
        </w:numPr>
        <w:ind w:left="0" w:firstLine="0"/>
        <w:rPr>
          <w:color w:val="404040"/>
          <w:szCs w:val="18"/>
        </w:rPr>
      </w:pPr>
      <w:r w:rsidRPr="000F7C7D">
        <w:rPr>
          <w:color w:val="404040"/>
          <w:szCs w:val="18"/>
        </w:rPr>
        <w:t>Sisteme temporare de tip întrerupător de circuit și măsuri urgente de asigurare a lichidității pentru sprijinirea funcționării eficace a piețelor produselor de bază, cu respectarea deplină a dispozițiilor privind ajutoarele de stat.</w:t>
      </w:r>
    </w:p>
    <w:p w14:paraId="623314DC" w14:textId="77777777" w:rsidR="00E40250" w:rsidRPr="000F7C7D" w:rsidRDefault="00E40250" w:rsidP="00CD63E5">
      <w:pPr>
        <w:numPr>
          <w:ilvl w:val="0"/>
          <w:numId w:val="20"/>
        </w:numPr>
        <w:ind w:left="0" w:firstLine="0"/>
        <w:rPr>
          <w:color w:val="404040"/>
          <w:szCs w:val="18"/>
        </w:rPr>
      </w:pPr>
      <w:r w:rsidRPr="000F7C7D">
        <w:rPr>
          <w:color w:val="404040"/>
          <w:szCs w:val="18"/>
        </w:rPr>
        <w:t>Utilizarea Platformei energetice a UE pentru a agrega cererea de gaze, pentru a asigura prețuri competitive la gaze prin intermediul achizițiilor comune voluntare și pentru a reduce dependența UE de combustibilii fosili din Rusia.</w:t>
      </w:r>
    </w:p>
    <w:p w14:paraId="5CB42A84" w14:textId="77777777" w:rsidR="00E40250" w:rsidRPr="000F7C7D" w:rsidRDefault="00E40250" w:rsidP="00CD63E5">
      <w:pPr>
        <w:pStyle w:val="NormalWeb"/>
        <w:spacing w:before="120" w:beforeAutospacing="0" w:after="0" w:afterAutospacing="0"/>
        <w:rPr>
          <w:rFonts w:ascii="Verdana" w:hAnsi="Verdana"/>
          <w:color w:val="404040"/>
          <w:sz w:val="18"/>
          <w:szCs w:val="18"/>
        </w:rPr>
      </w:pPr>
      <w:r w:rsidRPr="000F7C7D">
        <w:rPr>
          <w:rStyle w:val="Emphasis"/>
          <w:b/>
          <w:bCs/>
          <w:color w:val="404040"/>
        </w:rPr>
        <w:t>Opțiuni de intervenție pe piețele energiei electrice pentru statele membre:</w:t>
      </w:r>
    </w:p>
    <w:p w14:paraId="06CFE7B1" w14:textId="77777777" w:rsidR="00E40250" w:rsidRPr="000F7C7D" w:rsidRDefault="00E40250" w:rsidP="00CD63E5">
      <w:pPr>
        <w:numPr>
          <w:ilvl w:val="0"/>
          <w:numId w:val="21"/>
        </w:numPr>
        <w:ind w:left="0" w:firstLine="0"/>
        <w:rPr>
          <w:color w:val="404040"/>
          <w:szCs w:val="18"/>
        </w:rPr>
      </w:pPr>
      <w:r w:rsidRPr="000F7C7D">
        <w:rPr>
          <w:color w:val="404040"/>
          <w:szCs w:val="18"/>
        </w:rPr>
        <w:t>Posibilitatea de a realoca veniturile inframarginale excepțional de mari (așa-numitele profituri excepționale) pentru a sprijini consumatorii este extinsă la următorul sezon de încălzire.</w:t>
      </w:r>
    </w:p>
    <w:p w14:paraId="70F82DB1" w14:textId="77777777" w:rsidR="00E40250" w:rsidRPr="000F7C7D" w:rsidRDefault="00E40250" w:rsidP="00CD63E5">
      <w:pPr>
        <w:numPr>
          <w:ilvl w:val="0"/>
          <w:numId w:val="21"/>
        </w:numPr>
        <w:ind w:left="0" w:firstLine="0"/>
        <w:rPr>
          <w:color w:val="404040"/>
          <w:szCs w:val="18"/>
        </w:rPr>
      </w:pPr>
      <w:r w:rsidRPr="000F7C7D">
        <w:rPr>
          <w:color w:val="404040"/>
          <w:szCs w:val="18"/>
        </w:rPr>
        <w:t>În plus, veniturile din congestii pot fi utilizate pentru a finanța sprijinul pentru consumatori.</w:t>
      </w:r>
    </w:p>
    <w:p w14:paraId="7BFDC892" w14:textId="77777777" w:rsidR="00E40250" w:rsidRPr="000F7C7D" w:rsidRDefault="00E40250" w:rsidP="00CD63E5">
      <w:pPr>
        <w:numPr>
          <w:ilvl w:val="0"/>
          <w:numId w:val="21"/>
        </w:numPr>
        <w:ind w:left="0" w:firstLine="0"/>
        <w:rPr>
          <w:color w:val="404040"/>
          <w:szCs w:val="18"/>
        </w:rPr>
      </w:pPr>
      <w:r w:rsidRPr="000F7C7D">
        <w:rPr>
          <w:color w:val="404040"/>
          <w:szCs w:val="18"/>
        </w:rPr>
        <w:t>O extindere temporară a reglementării prețurilor cu amănuntul pentru a include întreprinderile mici și mijlocii.</w:t>
      </w:r>
    </w:p>
    <w:p w14:paraId="5204912F" w14:textId="77777777" w:rsidR="00E40250" w:rsidRPr="000F7C7D" w:rsidRDefault="00E40250" w:rsidP="00CD63E5">
      <w:pPr>
        <w:numPr>
          <w:ilvl w:val="0"/>
          <w:numId w:val="21"/>
        </w:numPr>
        <w:ind w:left="0" w:firstLine="0"/>
        <w:rPr>
          <w:color w:val="404040"/>
          <w:szCs w:val="18"/>
        </w:rPr>
      </w:pPr>
      <w:r w:rsidRPr="000F7C7D">
        <w:rPr>
          <w:color w:val="404040"/>
          <w:szCs w:val="18"/>
        </w:rPr>
        <w:t>Pentru regiunile cu interconexiuni foarte limitate, posibilitatea de a introduce subvenții pentru costurile aferente combustibililor în sectorul producției de energie electrică, pentru a reduce prețul energiei electrice, cu condiția ca aceste subvenții să fie concepute astfel încât să fie compatibile cu tratatele UE, în special în ceea ce privește absența restricțiilor la exporturile transfrontaliere, legislația sectorială și normele privind ajutoarele de stat.</w:t>
      </w:r>
    </w:p>
    <w:p w14:paraId="14429391"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Emphasis"/>
          <w:b/>
          <w:bCs/>
          <w:color w:val="404040"/>
        </w:rPr>
        <w:t>Măsuri la nivelul UE în cazul întreruperii totale a aprovizionării cu gaze</w:t>
      </w:r>
    </w:p>
    <w:p w14:paraId="5923CCD5"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În cazul unei întreruperi totale a aprovizionării cu gaze din Rusia, ar putea fi necesare măsuri excepționale suplimentare pentru a gestiona situația. Comisia invită statele membre să își actualizeze planurile pentru situații neprevăzute, luând în considerare recomandările incluse în analiza Comisiei privind nivelul de pregătire al UE.</w:t>
      </w:r>
    </w:p>
    <w:p w14:paraId="4D75F932" w14:textId="77777777" w:rsidR="00E40250" w:rsidRPr="000F7C7D" w:rsidRDefault="00E40250" w:rsidP="00CD63E5">
      <w:pPr>
        <w:numPr>
          <w:ilvl w:val="0"/>
          <w:numId w:val="22"/>
        </w:numPr>
        <w:ind w:left="0" w:firstLine="0"/>
        <w:rPr>
          <w:color w:val="404040"/>
          <w:szCs w:val="18"/>
        </w:rPr>
      </w:pPr>
      <w:r w:rsidRPr="000F7C7D">
        <w:rPr>
          <w:color w:val="404040"/>
          <w:szCs w:val="18"/>
        </w:rPr>
        <w:t>Comisia va facilita elaborarea unui plan coordonat de reducere a cererii la nivelul UE, cu măsuri preventive voluntare de reducere care să fie deja pregătite în caz de urgență. Într-un spirit de solidaritate, statele membre mai puțin afectate și-ar putea reduce cererea de gaze în beneficiul statelor membre care sunt mai grav afectate.</w:t>
      </w:r>
    </w:p>
    <w:p w14:paraId="41E5C9A2" w14:textId="77777777" w:rsidR="00E40250" w:rsidRPr="000F7C7D" w:rsidRDefault="00E40250" w:rsidP="00CD63E5">
      <w:pPr>
        <w:numPr>
          <w:ilvl w:val="0"/>
          <w:numId w:val="22"/>
        </w:numPr>
        <w:ind w:left="0" w:firstLine="0"/>
        <w:rPr>
          <w:color w:val="404040"/>
          <w:szCs w:val="18"/>
        </w:rPr>
      </w:pPr>
      <w:r w:rsidRPr="000F7C7D">
        <w:rPr>
          <w:color w:val="404040"/>
          <w:szCs w:val="18"/>
        </w:rPr>
        <w:t xml:space="preserve">Pentru a însoți aceste măsuri, ar putea fi necesară o plafonare administrativă a prețurilor la gaze la nivelul UE, ca reacție la o întrerupere totală a aprovizionării. Dacă va fi introdusă, această plafonare ar </w:t>
      </w:r>
      <w:r w:rsidRPr="000F7C7D">
        <w:rPr>
          <w:color w:val="404040"/>
          <w:szCs w:val="18"/>
        </w:rPr>
        <w:lastRenderedPageBreak/>
        <w:t>trebui să fie limitată la durata situației de urgență la nivelul UE și nu ar trebui să afecteze capacitatea UE de a atrage surse alternative de gaze de conductă și de GNL și de a reduce cererea.</w:t>
      </w:r>
    </w:p>
    <w:p w14:paraId="277516DB"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O organizare a pieței energiei electrice adaptată la exigențele viitorului</w:t>
      </w:r>
    </w:p>
    <w:p w14:paraId="51FAA294"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Concluzia recentului raport al ACER este că elementele fundamentale ale organizării pieței aduc beneficii considerabile consumatorilor. Potrivit acestui raport, există, de asemenea, mai multe modalități de a îmbunătăți protecția consumatorilor și de a asigura aprovizionarea cu energie electrică la prețuri accesibile, de a spori robustețea pieței și reziliența acesteia la șocurile viitoare, precum și de a o alinia mai mult la obiectivele Pactului verde european.</w:t>
      </w:r>
    </w:p>
    <w:p w14:paraId="173BEB7F"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Prin urmare, Comisia stabilește o serie de aspecte care trebuie analizate în vederea asigurării unei funcționări optime a pieței în viitor. Printre acestea se numără instrumente bazate pe piață menite să-i protejeze pe consumatori împotriva volatilității prețurilor, precum și măsuri de sporire a răspunsului la cerere și de promovare a schemelor de autoconsum individual, semnale adecvate în materie de investiții și o supraveghere mai transparentă a pieței Pe baza analizei prezentate astăzi, Comisia va lansa un proces de evaluare a impactului cu privire la eventualele ajustări ale organizării pieței energiei electrice.</w:t>
      </w:r>
    </w:p>
    <w:p w14:paraId="70C637E8"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Context</w:t>
      </w:r>
    </w:p>
    <w:p w14:paraId="7F5BB823"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După setul de instrumente privind prețurile la energie din octombrie 2021, Comisia a prezentat, la 8 martie 2022, orientări suplimentare adresate statelor membre în scopul protejării întreprinderilor și a gospodăriilor împotriva prețurilor ridicate. În aceste orientări a fost confirmată posibilitatea de a reglementa prețurile pentru consumatorii finali în circumstanțe excepționale și a fost descris modul în care statele membre pot redistribui către consumatori veniturile obținute din profiturile mari realizate în sectorul energetic și din comercializarea certificatelor de emisii. La 23 martie, Comisia a prezentat opțiuni suplimentare de atenuare a impactului prețurilor ridicate la energie și a propus obligații minime în materie de stocare a gazelor și achiziții comune voluntare de gaze.</w:t>
      </w:r>
    </w:p>
    <w:p w14:paraId="7CB41677"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În cadrul reuniunii Consiliului European din 24-25 martie 2022, liderii UE au solicitat Comisiei să prezinte propuneri care să abordeze problema prețurilor excesive la energia electrică, păstrând totodată integritatea pieței unice, menținând stimulentele pentru tranziția verde, garantând în continuare securitatea aprovizionării cu gaze și evitând costurile bugetare disproporționate. Comisia s-a angajat să evalueze opțiunile de optimizare a organizării pieței energiei electrice din UE și să prezinte un plan detaliat pentru a pune capăt dependenței noastre de combustibilii fosili din Rusia.</w:t>
      </w:r>
    </w:p>
    <w:p w14:paraId="23CEC7E5" w14:textId="77777777" w:rsidR="00E40250" w:rsidRPr="000F7C7D" w:rsidRDefault="00E40250" w:rsidP="000F7C7D">
      <w:pPr>
        <w:pStyle w:val="NormalWeb"/>
        <w:spacing w:before="120" w:beforeAutospacing="0" w:after="0" w:afterAutospacing="0"/>
        <w:rPr>
          <w:rFonts w:ascii="Verdana" w:hAnsi="Verdana"/>
          <w:color w:val="404040"/>
          <w:sz w:val="18"/>
          <w:szCs w:val="18"/>
        </w:rPr>
      </w:pPr>
      <w:r w:rsidRPr="000F7C7D">
        <w:rPr>
          <w:rStyle w:val="Strong"/>
          <w:color w:val="404040"/>
        </w:rPr>
        <w:t>Pentru informații suplimentare</w:t>
      </w:r>
    </w:p>
    <w:p w14:paraId="4ED76EFD" w14:textId="39622E62" w:rsidR="00E40250" w:rsidRPr="000F7C7D" w:rsidRDefault="00E40250" w:rsidP="000F7C7D">
      <w:pPr>
        <w:pStyle w:val="NormalWeb"/>
        <w:spacing w:before="120" w:beforeAutospacing="0" w:after="0" w:afterAutospacing="0"/>
        <w:rPr>
          <w:rFonts w:ascii="Verdana" w:hAnsi="Verdana"/>
          <w:color w:val="404040"/>
          <w:sz w:val="18"/>
          <w:szCs w:val="18"/>
        </w:rPr>
      </w:pPr>
      <w:hyperlink r:id="rId193" w:history="1">
        <w:r w:rsidRPr="000F7C7D">
          <w:rPr>
            <w:rStyle w:val="Hyperlink"/>
            <w:rFonts w:cs="Arial"/>
            <w:color w:val="004494"/>
          </w:rPr>
          <w:t>Comunicare privind intervențiile pe termen scurt de pe piața energiei și îmbunătățirile pe termen lung aduse organizării pieței energiei electrice</w:t>
        </w:r>
      </w:hyperlink>
      <w:hyperlink r:id="rId194" w:history="1"/>
    </w:p>
    <w:p w14:paraId="39C9AEBC" w14:textId="0618C473" w:rsidR="00E40250" w:rsidRPr="000F7C7D" w:rsidRDefault="00E40250" w:rsidP="000F7C7D">
      <w:pPr>
        <w:pStyle w:val="NormalWeb"/>
        <w:spacing w:before="120" w:beforeAutospacing="0" w:after="0" w:afterAutospacing="0"/>
        <w:rPr>
          <w:rFonts w:ascii="Verdana" w:hAnsi="Verdana"/>
          <w:color w:val="404040"/>
          <w:sz w:val="18"/>
          <w:szCs w:val="18"/>
        </w:rPr>
      </w:pPr>
      <w:hyperlink r:id="rId195" w:history="1">
        <w:r w:rsidRPr="000F7C7D">
          <w:rPr>
            <w:rStyle w:val="Hyperlink"/>
            <w:rFonts w:cs="Arial"/>
            <w:color w:val="004494"/>
          </w:rPr>
          <w:t>Întrebări și răspunsuri privind intervențiile pe termen scurt de pe piața energiei și îmbunătățirile pe termen lung aduse organizării pieței energiei electrice</w:t>
        </w:r>
      </w:hyperlink>
      <w:hyperlink r:id="rId196" w:history="1"/>
    </w:p>
    <w:p w14:paraId="09413F70" w14:textId="7F35214D" w:rsidR="00E40250" w:rsidRPr="000F7C7D" w:rsidRDefault="00E40250" w:rsidP="000F7C7D">
      <w:pPr>
        <w:pStyle w:val="NormalWeb"/>
        <w:spacing w:before="120" w:beforeAutospacing="0" w:after="0" w:afterAutospacing="0"/>
        <w:rPr>
          <w:rFonts w:ascii="Verdana" w:hAnsi="Verdana"/>
          <w:color w:val="404040"/>
          <w:sz w:val="18"/>
          <w:szCs w:val="18"/>
        </w:rPr>
      </w:pPr>
      <w:hyperlink r:id="rId197" w:history="1">
        <w:r w:rsidRPr="000F7C7D">
          <w:rPr>
            <w:rStyle w:val="Hyperlink"/>
            <w:rFonts w:cs="Arial"/>
            <w:color w:val="004494"/>
          </w:rPr>
          <w:t>Comisia prezintă opțiuni de atenuare a impactului prețurilor ridicate la energie prin achiziții comune de gaze și obligații minime de stocare a gazelor</w:t>
        </w:r>
      </w:hyperlink>
      <w:hyperlink r:id="rId198" w:history="1"/>
    </w:p>
    <w:p w14:paraId="272B56B3" w14:textId="344B89A6" w:rsidR="00E40250" w:rsidRPr="000F7C7D" w:rsidRDefault="00E40250" w:rsidP="000F7C7D">
      <w:pPr>
        <w:pStyle w:val="NormalWeb"/>
        <w:spacing w:before="120" w:beforeAutospacing="0" w:after="0" w:afterAutospacing="0"/>
        <w:rPr>
          <w:rFonts w:ascii="Verdana" w:hAnsi="Verdana"/>
          <w:color w:val="404040"/>
          <w:sz w:val="18"/>
          <w:szCs w:val="18"/>
        </w:rPr>
      </w:pPr>
      <w:hyperlink r:id="rId199" w:history="1">
        <w:r w:rsidRPr="000F7C7D">
          <w:rPr>
            <w:rStyle w:val="Hyperlink"/>
            <w:rFonts w:cs="Arial"/>
            <w:color w:val="004494"/>
          </w:rPr>
          <w:t>Comunicare privind securitatea aprovizionării și prețuri accesibile ale energiei electrice</w:t>
        </w:r>
      </w:hyperlink>
      <w:hyperlink r:id="rId200" w:history="1"/>
    </w:p>
    <w:p w14:paraId="1CF5C6E6" w14:textId="18572934" w:rsidR="00E40250" w:rsidRPr="000F7C7D" w:rsidRDefault="000F7C7D" w:rsidP="002159B4">
      <w:pPr>
        <w:pStyle w:val="separatorarticole"/>
      </w:pPr>
      <w:r w:rsidRPr="000F7C7D">
        <w:t>*</w:t>
      </w:r>
    </w:p>
    <w:p w14:paraId="56669593" w14:textId="29E1F2BA" w:rsidR="000F7C7D" w:rsidRPr="000F7C7D" w:rsidRDefault="000F7C7D" w:rsidP="002159B4">
      <w:pPr>
        <w:pStyle w:val="TitluArticolinINFOUE"/>
        <w:rPr>
          <w:lang w:eastAsia="ro-RO"/>
        </w:rPr>
      </w:pPr>
      <w:bookmarkStart w:id="171" w:name="_Toc104197299"/>
      <w:r w:rsidRPr="000F7C7D">
        <w:t>Directiva serviciilor mass-media audiovizuale: Comisia trimite România și alte 4 state membre în fața Curții de Justiție a UE</w:t>
      </w:r>
      <w:bookmarkEnd w:id="171"/>
    </w:p>
    <w:p w14:paraId="3884FF2C" w14:textId="71C80B12" w:rsidR="000F7C7D" w:rsidRPr="000F7C7D" w:rsidRDefault="000F7C7D" w:rsidP="000F7C7D">
      <w:pPr>
        <w:pStyle w:val="ecl-page-header-standardiseddescription"/>
        <w:shd w:val="clear" w:color="auto" w:fill="FFFFFF"/>
        <w:spacing w:before="120" w:beforeAutospacing="0" w:after="0" w:afterAutospacing="0"/>
        <w:rPr>
          <w:rFonts w:ascii="Verdana" w:hAnsi="Verdana" w:cs="Arial"/>
          <w:color w:val="404040"/>
          <w:sz w:val="18"/>
          <w:szCs w:val="18"/>
        </w:rPr>
      </w:pPr>
      <w:r w:rsidRPr="000F7C7D">
        <w:rPr>
          <w:rFonts w:ascii="Verdana" w:hAnsi="Verdana" w:cs="Arial"/>
          <w:color w:val="404040"/>
          <w:sz w:val="18"/>
          <w:szCs w:val="18"/>
        </w:rPr>
        <w:t>Directiva serviciilor mass-media audiovizuale: Comisia trimite România și alte 4 state membre în fața Curții de Justiție a UE.</w:t>
      </w:r>
    </w:p>
    <w:p w14:paraId="21E6200A" w14:textId="225DB33E" w:rsidR="000F7C7D" w:rsidRPr="000F7C7D" w:rsidRDefault="002159B4" w:rsidP="002159B4">
      <w:pPr>
        <w:rPr>
          <w:color w:val="404040"/>
          <w:szCs w:val="18"/>
        </w:rPr>
      </w:pPr>
      <w:r w:rsidRPr="000F7C7D">
        <w:rPr>
          <w:noProof/>
          <w:szCs w:val="18"/>
          <w:lang w:eastAsia="ro-RO"/>
        </w:rPr>
        <w:lastRenderedPageBreak/>
        <w:drawing>
          <wp:anchor distT="0" distB="0" distL="114300" distR="114300" simplePos="0" relativeHeight="252100608" behindDoc="0" locked="0" layoutInCell="1" allowOverlap="1" wp14:anchorId="66917F59" wp14:editId="503F6C02">
            <wp:simplePos x="0" y="0"/>
            <wp:positionH relativeFrom="column">
              <wp:posOffset>2540</wp:posOffset>
            </wp:positionH>
            <wp:positionV relativeFrom="paragraph">
              <wp:posOffset>106045</wp:posOffset>
            </wp:positionV>
            <wp:extent cx="2162175" cy="1446530"/>
            <wp:effectExtent l="0" t="0" r="9525" b="1270"/>
            <wp:wrapSquare wrapText="bothSides"/>
            <wp:docPr id="19" name="Picture 19" descr="InfringementMassMediaCJ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fringementMassMediaCJUE"/>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16217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C7D" w:rsidRPr="000F7C7D">
        <w:rPr>
          <w:color w:val="404040"/>
          <w:szCs w:val="18"/>
        </w:rPr>
        <w:t>Comisia a decis astăzi, 19 mai, să trimită</w:t>
      </w:r>
      <w:r>
        <w:rPr>
          <w:color w:val="404040"/>
          <w:szCs w:val="18"/>
        </w:rPr>
        <w:t xml:space="preserve"> </w:t>
      </w:r>
      <w:r w:rsidR="000F7C7D" w:rsidRPr="000F7C7D">
        <w:rPr>
          <w:rStyle w:val="Strong"/>
          <w:color w:val="404040"/>
        </w:rPr>
        <w:t>Cehia</w:t>
      </w:r>
      <w:r>
        <w:rPr>
          <w:color w:val="404040"/>
          <w:szCs w:val="18"/>
        </w:rPr>
        <w:t xml:space="preserve"> </w:t>
      </w:r>
      <w:r w:rsidR="000F7C7D" w:rsidRPr="000F7C7D">
        <w:rPr>
          <w:color w:val="404040"/>
          <w:szCs w:val="18"/>
        </w:rPr>
        <w:t>[</w:t>
      </w:r>
      <w:hyperlink r:id="rId202" w:history="1">
        <w:r w:rsidR="000F7C7D" w:rsidRPr="000F7C7D">
          <w:rPr>
            <w:rStyle w:val="Hyperlink"/>
            <w:rFonts w:cs="Arial"/>
            <w:color w:val="004494"/>
          </w:rPr>
          <w:t>INFR(2020)0510</w:t>
        </w:r>
      </w:hyperlink>
      <w:r>
        <w:rPr>
          <w:color w:val="404040"/>
          <w:szCs w:val="18"/>
        </w:rPr>
        <w:t xml:space="preserve">], </w:t>
      </w:r>
      <w:r w:rsidR="000F7C7D" w:rsidRPr="000F7C7D">
        <w:rPr>
          <w:rStyle w:val="Strong"/>
          <w:color w:val="404040"/>
        </w:rPr>
        <w:t>Irlanda</w:t>
      </w:r>
      <w:r>
        <w:rPr>
          <w:rStyle w:val="Strong"/>
          <w:color w:val="404040"/>
        </w:rPr>
        <w:t xml:space="preserve"> </w:t>
      </w:r>
      <w:r w:rsidR="000F7C7D" w:rsidRPr="000F7C7D">
        <w:rPr>
          <w:color w:val="404040"/>
          <w:szCs w:val="18"/>
        </w:rPr>
        <w:t>[</w:t>
      </w:r>
      <w:hyperlink r:id="rId203" w:history="1">
        <w:r w:rsidR="000F7C7D" w:rsidRPr="000F7C7D">
          <w:rPr>
            <w:rStyle w:val="Hyperlink"/>
            <w:rFonts w:cs="Arial"/>
            <w:color w:val="004494"/>
          </w:rPr>
          <w:t>INFR(2020)0531</w:t>
        </w:r>
      </w:hyperlink>
      <w:r>
        <w:rPr>
          <w:color w:val="404040"/>
          <w:szCs w:val="18"/>
        </w:rPr>
        <w:t xml:space="preserve">], </w:t>
      </w:r>
      <w:r w:rsidR="000F7C7D" w:rsidRPr="000F7C7D">
        <w:rPr>
          <w:rStyle w:val="Strong"/>
          <w:color w:val="404040"/>
        </w:rPr>
        <w:t>România</w:t>
      </w:r>
      <w:r>
        <w:rPr>
          <w:rStyle w:val="Strong"/>
          <w:color w:val="404040"/>
        </w:rPr>
        <w:t xml:space="preserve"> </w:t>
      </w:r>
      <w:r w:rsidR="000F7C7D" w:rsidRPr="000F7C7D">
        <w:rPr>
          <w:color w:val="404040"/>
          <w:szCs w:val="18"/>
        </w:rPr>
        <w:t>[</w:t>
      </w:r>
      <w:hyperlink r:id="rId204" w:history="1">
        <w:r w:rsidR="000F7C7D" w:rsidRPr="000F7C7D">
          <w:rPr>
            <w:rStyle w:val="Hyperlink"/>
            <w:rFonts w:cs="Arial"/>
            <w:color w:val="004494"/>
          </w:rPr>
          <w:t>INFR(2020)0555</w:t>
        </w:r>
      </w:hyperlink>
      <w:r>
        <w:rPr>
          <w:color w:val="404040"/>
          <w:szCs w:val="18"/>
        </w:rPr>
        <w:t xml:space="preserve">], </w:t>
      </w:r>
      <w:r w:rsidR="000F7C7D" w:rsidRPr="000F7C7D">
        <w:rPr>
          <w:rStyle w:val="Strong"/>
          <w:color w:val="404040"/>
        </w:rPr>
        <w:t>Slovacia</w:t>
      </w:r>
      <w:r>
        <w:rPr>
          <w:rStyle w:val="Strong"/>
          <w:color w:val="404040"/>
        </w:rPr>
        <w:t xml:space="preserve"> </w:t>
      </w:r>
      <w:r w:rsidR="000F7C7D" w:rsidRPr="000F7C7D">
        <w:rPr>
          <w:color w:val="404040"/>
          <w:szCs w:val="18"/>
        </w:rPr>
        <w:t>[</w:t>
      </w:r>
      <w:hyperlink r:id="rId205" w:history="1">
        <w:r w:rsidR="000F7C7D" w:rsidRPr="000F7C7D">
          <w:rPr>
            <w:rStyle w:val="Hyperlink"/>
            <w:rFonts w:cs="Arial"/>
            <w:color w:val="004494"/>
          </w:rPr>
          <w:t>INFR(2020)0563</w:t>
        </w:r>
      </w:hyperlink>
      <w:r w:rsidR="000F7C7D" w:rsidRPr="000F7C7D">
        <w:rPr>
          <w:color w:val="404040"/>
          <w:szCs w:val="18"/>
        </w:rPr>
        <w:t>] și</w:t>
      </w:r>
      <w:r>
        <w:rPr>
          <w:color w:val="404040"/>
          <w:szCs w:val="18"/>
        </w:rPr>
        <w:t xml:space="preserve"> </w:t>
      </w:r>
      <w:r w:rsidR="000F7C7D" w:rsidRPr="000F7C7D">
        <w:rPr>
          <w:rStyle w:val="Strong"/>
          <w:color w:val="404040"/>
        </w:rPr>
        <w:t>Spania</w:t>
      </w:r>
      <w:r>
        <w:rPr>
          <w:rStyle w:val="Strong"/>
          <w:color w:val="404040"/>
        </w:rPr>
        <w:t xml:space="preserve"> </w:t>
      </w:r>
      <w:r w:rsidR="000F7C7D" w:rsidRPr="000F7C7D">
        <w:rPr>
          <w:color w:val="404040"/>
          <w:szCs w:val="18"/>
        </w:rPr>
        <w:t>[</w:t>
      </w:r>
      <w:hyperlink r:id="rId206" w:history="1">
        <w:r w:rsidR="000F7C7D" w:rsidRPr="000F7C7D">
          <w:rPr>
            <w:rStyle w:val="Hyperlink"/>
            <w:rFonts w:cs="Arial"/>
            <w:color w:val="004494"/>
          </w:rPr>
          <w:t>INFR(2020)0521</w:t>
        </w:r>
      </w:hyperlink>
      <w:r w:rsidR="000F7C7D" w:rsidRPr="000F7C7D">
        <w:rPr>
          <w:color w:val="404040"/>
          <w:szCs w:val="18"/>
        </w:rPr>
        <w:t>] în fața Curții de Justiție a Uniunii Europene pentru nerespectarea obligației de transpunere a</w:t>
      </w:r>
      <w:r>
        <w:rPr>
          <w:color w:val="404040"/>
          <w:szCs w:val="18"/>
        </w:rPr>
        <w:t xml:space="preserve"> </w:t>
      </w:r>
      <w:hyperlink r:id="rId207" w:history="1">
        <w:r w:rsidR="000F7C7D" w:rsidRPr="000F7C7D">
          <w:rPr>
            <w:rStyle w:val="Hyperlink"/>
            <w:rFonts w:cs="Arial"/>
            <w:color w:val="004494"/>
          </w:rPr>
          <w:t>Directivei revizuite a serviciilor mass-media audiovizuale</w:t>
        </w:r>
      </w:hyperlink>
      <w:hyperlink r:id="rId208" w:history="1"/>
      <w:r>
        <w:rPr>
          <w:color w:val="404040"/>
          <w:szCs w:val="18"/>
        </w:rPr>
        <w:t xml:space="preserve"> </w:t>
      </w:r>
      <w:r w:rsidR="000F7C7D" w:rsidRPr="000F7C7D">
        <w:rPr>
          <w:color w:val="404040"/>
          <w:szCs w:val="18"/>
        </w:rPr>
        <w:t>„DSMAV”, Directiva (UE) 2018/1808], solicitând impunerea de sancțiuni financiare în conformitate cu articolul 260 alineatul (3) din TFUE.</w:t>
      </w:r>
    </w:p>
    <w:p w14:paraId="1467DE80" w14:textId="2F9BE443"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DSMAV reglementează coordonarea la nivelul UE a legislației naționale privind toate serviciile mass-media audiovizuale. Cea mai recentă revizuire a DSMAV a fost efectuată în 2018. DSMAV revizuită prevede standarde la nivelul UE privind conținutul media pentru toate serviciile mass-media audiovizuale, fie acestea transmisii de televiziune tradiționale sau servicii la cerere, precum și pentru platformele de partajare a materialelor video. Noile norme ale UE vizează crearea unui peisaj audiovizual mai sigur, mai echitabil și mai divers. Acestea consolidează protecția publicului, acordând o atenție specială siguranței celor mai vulnerabile persoane, cum ar fi minorii, extind normele privind conținutul ilegal și dăunător la platformele de partajare a materialelor video și promovează diversitatea culturală în cadrul serviciilor mass-media audiovizuale. În plus, directiva a introdus cerințe suplimentare privind independența autorităților naționale de reglementare în domeniul mass-mediei.</w:t>
      </w:r>
    </w:p>
    <w:p w14:paraId="6FCF972F" w14:textId="1A948E9A"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Statele membre trebuiau să transpună această directivă și să îi comunice Comisiei măsurile naționale de transpunere până la 19 septembrie 2020. În absența adoptării normelor naționale relevante, în noiembrie 2020, Comisia a trimis unui număr de 23 de state membre </w:t>
      </w:r>
      <w:hyperlink r:id="rId209" w:history="1">
        <w:r w:rsidRPr="000F7C7D">
          <w:rPr>
            <w:rStyle w:val="Hyperlink"/>
            <w:rFonts w:cs="Arial"/>
            <w:color w:val="004494"/>
          </w:rPr>
          <w:t>scrisori de punere în întârziere</w:t>
        </w:r>
      </w:hyperlink>
      <w:hyperlink r:id="rId210" w:history="1"/>
      <w:r w:rsidRPr="000F7C7D">
        <w:rPr>
          <w:rFonts w:ascii="Verdana" w:hAnsi="Verdana"/>
          <w:color w:val="404040"/>
          <w:sz w:val="18"/>
          <w:szCs w:val="18"/>
        </w:rPr>
        <w:t>, urmate de nouă avize motivate în </w:t>
      </w:r>
      <w:hyperlink r:id="rId211" w:history="1">
        <w:r w:rsidRPr="000F7C7D">
          <w:rPr>
            <w:rStyle w:val="Hyperlink"/>
            <w:rFonts w:cs="Arial"/>
            <w:color w:val="004494"/>
          </w:rPr>
          <w:t>septembrie</w:t>
        </w:r>
      </w:hyperlink>
      <w:hyperlink r:id="rId212" w:history="1"/>
      <w:r w:rsidRPr="000F7C7D">
        <w:rPr>
          <w:rFonts w:ascii="Verdana" w:hAnsi="Verdana"/>
          <w:color w:val="404040"/>
          <w:sz w:val="18"/>
          <w:szCs w:val="18"/>
        </w:rPr>
        <w:t> și două în </w:t>
      </w:r>
      <w:hyperlink r:id="rId213" w:history="1">
        <w:r w:rsidRPr="000F7C7D">
          <w:rPr>
            <w:rStyle w:val="Hyperlink"/>
            <w:rFonts w:cs="Arial"/>
            <w:color w:val="004494"/>
          </w:rPr>
          <w:t>noiembrie</w:t>
        </w:r>
      </w:hyperlink>
      <w:hyperlink r:id="rId214" w:history="1"/>
      <w:r w:rsidRPr="000F7C7D">
        <w:rPr>
          <w:rFonts w:ascii="Verdana" w:hAnsi="Verdana"/>
          <w:color w:val="404040"/>
          <w:sz w:val="18"/>
          <w:szCs w:val="18"/>
        </w:rPr>
        <w:t> 2021. Până în prezent, statele membre enumerate mai sus nu și-au îndeplinit obligația de a transpune integral DSMAV și de a comunica măsurile de punere în aplicare a acesteia. În consecință, Comisia a decis astăzi să trimită aceste cazuri în fața Curții de Justiție a Uniunii Europene.</w:t>
      </w:r>
    </w:p>
    <w:p w14:paraId="09E7D93E"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Din cauza transpunerii întârziate, este posibil ca cetățenii și întreprinderile din Cehia, Irlanda, România, Slovacia și Spania să nu fie în măsură să beneficieze de toate dispozițiile directivei, care:</w:t>
      </w:r>
    </w:p>
    <w:p w14:paraId="1E85DA0B" w14:textId="77777777" w:rsidR="000F7C7D" w:rsidRPr="000F7C7D" w:rsidRDefault="000F7C7D" w:rsidP="000F7C7D">
      <w:pPr>
        <w:numPr>
          <w:ilvl w:val="0"/>
          <w:numId w:val="23"/>
        </w:numPr>
        <w:ind w:left="0"/>
        <w:rPr>
          <w:color w:val="404040"/>
          <w:szCs w:val="18"/>
        </w:rPr>
      </w:pPr>
      <w:r w:rsidRPr="000F7C7D">
        <w:rPr>
          <w:color w:val="404040"/>
          <w:szCs w:val="18"/>
        </w:rPr>
        <w:t>creează condiții de concurență echitabile pentru diferitele tipuri de servicii mass-media audiovizuale;</w:t>
      </w:r>
    </w:p>
    <w:p w14:paraId="100AAC85" w14:textId="77777777" w:rsidR="000F7C7D" w:rsidRPr="000F7C7D" w:rsidRDefault="000F7C7D" w:rsidP="002159B4">
      <w:pPr>
        <w:numPr>
          <w:ilvl w:val="0"/>
          <w:numId w:val="23"/>
        </w:numPr>
        <w:ind w:left="0" w:firstLine="0"/>
        <w:rPr>
          <w:color w:val="404040"/>
          <w:szCs w:val="18"/>
        </w:rPr>
      </w:pPr>
      <w:r w:rsidRPr="000F7C7D">
        <w:rPr>
          <w:color w:val="404040"/>
          <w:szCs w:val="18"/>
        </w:rPr>
        <w:t>garantează independența autorităților naționale de reglementare în domeniul mass-mediei;</w:t>
      </w:r>
    </w:p>
    <w:p w14:paraId="0489199A" w14:textId="77777777" w:rsidR="000F7C7D" w:rsidRPr="000F7C7D" w:rsidRDefault="000F7C7D" w:rsidP="002159B4">
      <w:pPr>
        <w:numPr>
          <w:ilvl w:val="0"/>
          <w:numId w:val="23"/>
        </w:numPr>
        <w:ind w:left="0" w:firstLine="0"/>
        <w:rPr>
          <w:color w:val="404040"/>
          <w:szCs w:val="18"/>
        </w:rPr>
      </w:pPr>
      <w:r w:rsidRPr="000F7C7D">
        <w:rPr>
          <w:color w:val="404040"/>
          <w:szCs w:val="18"/>
        </w:rPr>
        <w:t>mențin diversitatea culturală, de exemplu prin impunerea obligației ca operele europene să reprezinte cel puțin 30 % din oferta de servicii video la cerere;</w:t>
      </w:r>
    </w:p>
    <w:p w14:paraId="1AA7CDAA" w14:textId="77777777" w:rsidR="000F7C7D" w:rsidRPr="000F7C7D" w:rsidRDefault="000F7C7D" w:rsidP="002159B4">
      <w:pPr>
        <w:numPr>
          <w:ilvl w:val="0"/>
          <w:numId w:val="23"/>
        </w:numPr>
        <w:ind w:left="0" w:firstLine="0"/>
        <w:rPr>
          <w:color w:val="404040"/>
          <w:szCs w:val="18"/>
        </w:rPr>
      </w:pPr>
      <w:r w:rsidRPr="000F7C7D">
        <w:rPr>
          <w:color w:val="404040"/>
          <w:szCs w:val="18"/>
        </w:rPr>
        <w:t>protejează copii și consumatorii în general prin instituirea de norme, de exemplu pentru asigurarea protecției minorilor împotriva conținutului dăunător din mediul online, inclusiv în cazul serviciilor video la cerere, și prin consolidarea protecției acestora în ceea ce privește comunicările comerciale audiovizuale și</w:t>
      </w:r>
    </w:p>
    <w:p w14:paraId="3289A662" w14:textId="77777777" w:rsidR="000F7C7D" w:rsidRPr="000F7C7D" w:rsidRDefault="000F7C7D" w:rsidP="002159B4">
      <w:pPr>
        <w:numPr>
          <w:ilvl w:val="0"/>
          <w:numId w:val="23"/>
        </w:numPr>
        <w:ind w:left="0" w:firstLine="0"/>
        <w:rPr>
          <w:color w:val="404040"/>
          <w:szCs w:val="18"/>
        </w:rPr>
      </w:pPr>
      <w:r w:rsidRPr="000F7C7D">
        <w:rPr>
          <w:color w:val="404040"/>
          <w:szCs w:val="18"/>
        </w:rPr>
        <w:t>combat ura rasială, religioasă sau de orice altă natură prin consolidarea normelor menite să lupte împotriva incitării la violență sau la ură și a instigării publice la săvârșirea de infracțiuni de terorism.</w:t>
      </w:r>
    </w:p>
    <w:p w14:paraId="65C0DD35" w14:textId="77777777" w:rsidR="000F7C7D" w:rsidRPr="002159B4" w:rsidRDefault="000F7C7D" w:rsidP="002159B4">
      <w:pPr>
        <w:rPr>
          <w:b/>
        </w:rPr>
      </w:pPr>
      <w:r w:rsidRPr="002159B4">
        <w:rPr>
          <w:b/>
        </w:rPr>
        <w:t>Context</w:t>
      </w:r>
    </w:p>
    <w:p w14:paraId="32F331C4" w14:textId="7AA4E058" w:rsidR="000F7C7D" w:rsidRPr="000F7C7D" w:rsidRDefault="000F7C7D" w:rsidP="000F7C7D">
      <w:pPr>
        <w:pStyle w:val="NormalWeb"/>
        <w:spacing w:before="120" w:beforeAutospacing="0" w:after="0" w:afterAutospacing="0"/>
        <w:rPr>
          <w:rFonts w:ascii="Verdana" w:hAnsi="Verdana"/>
          <w:color w:val="404040"/>
          <w:sz w:val="18"/>
          <w:szCs w:val="18"/>
        </w:rPr>
      </w:pPr>
      <w:hyperlink r:id="rId215" w:history="1">
        <w:r w:rsidRPr="000F7C7D">
          <w:rPr>
            <w:rStyle w:val="Hyperlink"/>
            <w:rFonts w:cs="Arial"/>
            <w:color w:val="004494"/>
          </w:rPr>
          <w:t>Directiva serviciilor mass-media audiovizuale (DSMAV)</w:t>
        </w:r>
      </w:hyperlink>
      <w:hyperlink r:id="rId216" w:history="1"/>
      <w:r w:rsidRPr="000F7C7D">
        <w:rPr>
          <w:rFonts w:ascii="Verdana" w:hAnsi="Verdana"/>
          <w:color w:val="404040"/>
          <w:sz w:val="18"/>
          <w:szCs w:val="18"/>
        </w:rPr>
        <w:t> vizează să asigure o piață unică echitabilă pentru serviciile de radiodifuziune, care să țină pasul cu evoluțiile tehnologice. Comisia a propus o </w:t>
      </w:r>
      <w:hyperlink r:id="rId217" w:history="1">
        <w:r w:rsidRPr="000F7C7D">
          <w:rPr>
            <w:rStyle w:val="Hyperlink"/>
            <w:rFonts w:cs="Arial"/>
            <w:color w:val="004494"/>
          </w:rPr>
          <w:t>revizuire a DSMAV</w:t>
        </w:r>
      </w:hyperlink>
      <w:hyperlink r:id="rId218" w:history="1"/>
      <w:r w:rsidRPr="000F7C7D">
        <w:rPr>
          <w:rFonts w:ascii="Verdana" w:hAnsi="Verdana"/>
          <w:color w:val="404040"/>
          <w:sz w:val="18"/>
          <w:szCs w:val="18"/>
        </w:rPr>
        <w:t> în 2016, care a fost adoptată în 2018; aceasta a inclus o nouă abordare privind platformele online care difuzează conținut audiovizual.</w:t>
      </w:r>
    </w:p>
    <w:p w14:paraId="36C8FB2E"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În temeiul articolului 258 din Tratatul privind funcționarea Uniunii Europene (</w:t>
      </w:r>
      <w:hyperlink r:id="rId219" w:history="1">
        <w:r w:rsidRPr="000F7C7D">
          <w:rPr>
            <w:rStyle w:val="Hyperlink"/>
            <w:rFonts w:cs="Arial"/>
            <w:color w:val="004494"/>
          </w:rPr>
          <w:t>TFUE</w:t>
        </w:r>
      </w:hyperlink>
      <w:r w:rsidRPr="000F7C7D">
        <w:rPr>
          <w:rFonts w:ascii="Verdana" w:hAnsi="Verdana"/>
          <w:color w:val="404040"/>
          <w:sz w:val="18"/>
          <w:szCs w:val="18"/>
        </w:rPr>
        <w:t>), în cazul în care statul în cauză nu se conformează avizului în termenul stabilit de Comisie, aceasta poate sesiza Curtea de Justiție a Uniunii Europene. În plus, în temeiul articolului 260 alineatul (3) din </w:t>
      </w:r>
      <w:hyperlink r:id="rId220" w:history="1">
        <w:r w:rsidRPr="000F7C7D">
          <w:rPr>
            <w:rStyle w:val="Hyperlink"/>
            <w:rFonts w:cs="Arial"/>
            <w:color w:val="004494"/>
          </w:rPr>
          <w:t>TFUE</w:t>
        </w:r>
      </w:hyperlink>
      <w:r w:rsidRPr="000F7C7D">
        <w:rPr>
          <w:rFonts w:ascii="Verdana" w:hAnsi="Verdana"/>
          <w:color w:val="404040"/>
          <w:sz w:val="18"/>
          <w:szCs w:val="18"/>
        </w:rPr>
        <w:t>, Comisia poate solicita Curții de Justiție a UE să impună sancțiuni financiare statelor membre care nu și-au îndeplinit obligația de a comunica măsurile de transpunere a unei directive.</w:t>
      </w:r>
    </w:p>
    <w:p w14:paraId="5758D86B" w14:textId="77777777" w:rsidR="000F7C7D" w:rsidRPr="0080542F" w:rsidRDefault="000F7C7D" w:rsidP="0080542F">
      <w:pPr>
        <w:rPr>
          <w:b/>
        </w:rPr>
      </w:pPr>
      <w:r w:rsidRPr="0080542F">
        <w:rPr>
          <w:b/>
        </w:rPr>
        <w:t>Pentru informații suplimentare</w:t>
      </w:r>
    </w:p>
    <w:p w14:paraId="0673705E" w14:textId="223F7FD7" w:rsidR="000F7C7D" w:rsidRPr="000F7C7D" w:rsidRDefault="000F7C7D" w:rsidP="000F7C7D">
      <w:pPr>
        <w:pStyle w:val="NormalWeb"/>
        <w:spacing w:before="120" w:beforeAutospacing="0" w:after="0" w:afterAutospacing="0"/>
        <w:rPr>
          <w:rFonts w:ascii="Verdana" w:hAnsi="Verdana"/>
          <w:color w:val="404040"/>
          <w:sz w:val="18"/>
          <w:szCs w:val="18"/>
        </w:rPr>
      </w:pPr>
      <w:hyperlink r:id="rId221" w:history="1">
        <w:r w:rsidRPr="000F7C7D">
          <w:rPr>
            <w:rStyle w:val="Hyperlink"/>
            <w:rFonts w:cs="Arial"/>
            <w:color w:val="004494"/>
          </w:rPr>
          <w:t>Serviciile mass-media audiovizuale</w:t>
        </w:r>
      </w:hyperlink>
      <w:hyperlink r:id="rId222" w:history="1"/>
    </w:p>
    <w:p w14:paraId="15AA846B" w14:textId="791815EC" w:rsidR="000F7C7D" w:rsidRPr="000F7C7D" w:rsidRDefault="000F7C7D" w:rsidP="000F7C7D">
      <w:pPr>
        <w:pStyle w:val="NormalWeb"/>
        <w:spacing w:before="120" w:beforeAutospacing="0" w:after="0" w:afterAutospacing="0"/>
        <w:rPr>
          <w:rFonts w:ascii="Verdana" w:hAnsi="Verdana"/>
          <w:color w:val="404040"/>
          <w:sz w:val="18"/>
          <w:szCs w:val="18"/>
        </w:rPr>
      </w:pPr>
      <w:hyperlink r:id="rId223" w:history="1">
        <w:r w:rsidRPr="000F7C7D">
          <w:rPr>
            <w:rStyle w:val="Hyperlink"/>
            <w:rFonts w:cs="Arial"/>
            <w:color w:val="004494"/>
          </w:rPr>
          <w:t>Revizuirea Directivei serviciilor mass-media audiovizuale (DSMAV)</w:t>
        </w:r>
      </w:hyperlink>
      <w:hyperlink r:id="rId224" w:history="1"/>
    </w:p>
    <w:p w14:paraId="49A6AE2C" w14:textId="2C0DEF21" w:rsidR="000F7C7D" w:rsidRPr="000F7C7D" w:rsidRDefault="000F7C7D" w:rsidP="000F7C7D">
      <w:pPr>
        <w:pStyle w:val="NormalWeb"/>
        <w:spacing w:before="120" w:beforeAutospacing="0" w:after="0" w:afterAutospacing="0"/>
        <w:rPr>
          <w:rFonts w:ascii="Verdana" w:hAnsi="Verdana"/>
          <w:color w:val="404040"/>
          <w:sz w:val="18"/>
          <w:szCs w:val="18"/>
        </w:rPr>
      </w:pPr>
      <w:hyperlink r:id="rId225" w:history="1">
        <w:r w:rsidRPr="000F7C7D">
          <w:rPr>
            <w:rStyle w:val="Hyperlink"/>
            <w:rFonts w:cs="Arial"/>
            <w:color w:val="004494"/>
          </w:rPr>
          <w:t>Întrebări și răspunsuri: Norme actualizate în domeniul audiovizualului</w:t>
        </w:r>
      </w:hyperlink>
      <w:hyperlink r:id="rId226" w:history="1"/>
    </w:p>
    <w:p w14:paraId="1A74BBC2" w14:textId="502F5E2B" w:rsidR="000F7C7D" w:rsidRPr="000F7C7D" w:rsidRDefault="000F7C7D" w:rsidP="000F7C7D">
      <w:pPr>
        <w:pStyle w:val="NormalWeb"/>
        <w:spacing w:before="120" w:beforeAutospacing="0" w:after="0" w:afterAutospacing="0"/>
        <w:rPr>
          <w:rFonts w:ascii="Verdana" w:hAnsi="Verdana"/>
          <w:color w:val="404040"/>
          <w:sz w:val="18"/>
          <w:szCs w:val="18"/>
        </w:rPr>
      </w:pPr>
      <w:hyperlink r:id="rId227" w:history="1">
        <w:r w:rsidRPr="000F7C7D">
          <w:rPr>
            <w:rStyle w:val="Hyperlink"/>
            <w:rFonts w:cs="Arial"/>
            <w:color w:val="004494"/>
          </w:rPr>
          <w:t>Procedura de constatare a neîndeplinirii obligațiilor</w:t>
        </w:r>
      </w:hyperlink>
      <w:hyperlink r:id="rId228" w:history="1"/>
    </w:p>
    <w:p w14:paraId="0B53B8ED" w14:textId="77777777" w:rsidR="000F7C7D" w:rsidRPr="000F7C7D" w:rsidRDefault="000F7C7D" w:rsidP="000F7C7D">
      <w:pPr>
        <w:pStyle w:val="NormalWeb"/>
        <w:spacing w:before="120" w:beforeAutospacing="0" w:after="0" w:afterAutospacing="0"/>
        <w:rPr>
          <w:rFonts w:ascii="Verdana" w:hAnsi="Verdana"/>
          <w:color w:val="404040"/>
          <w:sz w:val="18"/>
          <w:szCs w:val="18"/>
        </w:rPr>
      </w:pPr>
      <w:hyperlink r:id="rId229" w:history="1">
        <w:r w:rsidRPr="000F7C7D">
          <w:rPr>
            <w:rStyle w:val="Hyperlink"/>
            <w:rFonts w:cs="Arial"/>
            <w:color w:val="004494"/>
          </w:rPr>
          <w:t>Baza de date privind încălcările</w:t>
        </w:r>
      </w:hyperlink>
    </w:p>
    <w:p w14:paraId="19CE3F18" w14:textId="34E41E59" w:rsidR="000F7C7D" w:rsidRPr="000F7C7D" w:rsidRDefault="000F7C7D" w:rsidP="0080542F">
      <w:pPr>
        <w:pStyle w:val="separatorarticole"/>
      </w:pPr>
      <w:r w:rsidRPr="000F7C7D">
        <w:t>*</w:t>
      </w:r>
    </w:p>
    <w:p w14:paraId="7EE2DC4C" w14:textId="77777777" w:rsidR="000F7C7D" w:rsidRPr="000F7C7D" w:rsidRDefault="000F7C7D" w:rsidP="0080542F">
      <w:pPr>
        <w:pStyle w:val="TitluArticolinINFOUE"/>
        <w:rPr>
          <w:lang w:eastAsia="ro-RO"/>
        </w:rPr>
      </w:pPr>
      <w:bookmarkStart w:id="172" w:name="_Toc104197300"/>
      <w:r w:rsidRPr="000F7C7D">
        <w:t>Mandatul european de arestare: Comisia lansează proceduri de constatare a neîndeplinirii obligațiilor împotriva României și Luxemburgului pentru transpunere incorectă</w:t>
      </w:r>
      <w:bookmarkEnd w:id="172"/>
    </w:p>
    <w:p w14:paraId="602A4B8A" w14:textId="77777777" w:rsidR="000F7C7D" w:rsidRPr="000F7C7D" w:rsidRDefault="000F7C7D" w:rsidP="000F7C7D">
      <w:pPr>
        <w:pStyle w:val="ecl-page-header-standardiseddescription"/>
        <w:shd w:val="clear" w:color="auto" w:fill="FFFFFF"/>
        <w:spacing w:before="120" w:beforeAutospacing="0" w:after="0" w:afterAutospacing="0"/>
        <w:rPr>
          <w:rFonts w:ascii="Verdana" w:hAnsi="Verdana" w:cs="Arial"/>
          <w:color w:val="404040"/>
          <w:sz w:val="18"/>
          <w:szCs w:val="18"/>
        </w:rPr>
      </w:pPr>
      <w:r w:rsidRPr="000F7C7D">
        <w:rPr>
          <w:rFonts w:ascii="Verdana" w:hAnsi="Verdana" w:cs="Arial"/>
          <w:color w:val="404040"/>
          <w:sz w:val="18"/>
          <w:szCs w:val="18"/>
        </w:rPr>
        <w:t>Mandatul european de arestare: Comisia lansează proceduri de constatare a neîndeplinirii obligațiilor împotriva României și Luxemburgului pentru transpunere incorectă.</w:t>
      </w:r>
    </w:p>
    <w:p w14:paraId="2281F329" w14:textId="174CDC28" w:rsidR="000F7C7D" w:rsidRPr="000F7C7D" w:rsidRDefault="000F7C7D" w:rsidP="0080542F">
      <w:pPr>
        <w:rPr>
          <w:color w:val="404040"/>
          <w:szCs w:val="18"/>
        </w:rPr>
      </w:pPr>
      <w:r w:rsidRPr="000F7C7D">
        <w:rPr>
          <w:noProof/>
          <w:szCs w:val="18"/>
          <w:lang w:eastAsia="ro-RO"/>
        </w:rPr>
        <w:drawing>
          <wp:anchor distT="0" distB="0" distL="114300" distR="114300" simplePos="0" relativeHeight="252101632" behindDoc="0" locked="0" layoutInCell="1" allowOverlap="1" wp14:anchorId="4A238A89" wp14:editId="498891C4">
            <wp:simplePos x="0" y="0"/>
            <wp:positionH relativeFrom="column">
              <wp:posOffset>2540</wp:posOffset>
            </wp:positionH>
            <wp:positionV relativeFrom="paragraph">
              <wp:posOffset>74930</wp:posOffset>
            </wp:positionV>
            <wp:extent cx="2362200" cy="1580362"/>
            <wp:effectExtent l="0" t="0" r="0" b="1270"/>
            <wp:wrapSquare wrapText="bothSides"/>
            <wp:docPr id="20" name="Picture 20" descr="InfringementMandatEurop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fringementMandatEuropean"/>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2362200" cy="1580362"/>
                    </a:xfrm>
                    <a:prstGeom prst="rect">
                      <a:avLst/>
                    </a:prstGeom>
                    <a:noFill/>
                    <a:ln>
                      <a:noFill/>
                    </a:ln>
                  </pic:spPr>
                </pic:pic>
              </a:graphicData>
            </a:graphic>
          </wp:anchor>
        </w:drawing>
      </w:r>
      <w:r w:rsidRPr="000F7C7D">
        <w:rPr>
          <w:color w:val="404040"/>
          <w:szCs w:val="18"/>
        </w:rPr>
        <w:t>Comisia a decis astăzi, 19 mai, să inițieze o procedură de constatare a neîndeplinirii obligațiilor prin trimiterea unei </w:t>
      </w:r>
      <w:r w:rsidRPr="000F7C7D">
        <w:rPr>
          <w:rStyle w:val="Strong"/>
          <w:color w:val="404040"/>
        </w:rPr>
        <w:t>scrisori de punere în întârziere</w:t>
      </w:r>
      <w:r w:rsidRPr="000F7C7D">
        <w:rPr>
          <w:color w:val="404040"/>
          <w:szCs w:val="18"/>
        </w:rPr>
        <w:t> Luxemburgului [</w:t>
      </w:r>
      <w:hyperlink r:id="rId231" w:history="1">
        <w:r w:rsidRPr="000F7C7D">
          <w:rPr>
            <w:rStyle w:val="Hyperlink"/>
            <w:rFonts w:cs="Arial"/>
            <w:color w:val="004494"/>
          </w:rPr>
          <w:t>INFR(2022)2018</w:t>
        </w:r>
      </w:hyperlink>
      <w:r w:rsidRPr="000F7C7D">
        <w:rPr>
          <w:color w:val="404040"/>
          <w:szCs w:val="18"/>
        </w:rPr>
        <w:t>] și României [</w:t>
      </w:r>
      <w:hyperlink r:id="rId232" w:history="1">
        <w:r w:rsidRPr="000F7C7D">
          <w:rPr>
            <w:rStyle w:val="Hyperlink"/>
            <w:rFonts w:cs="Arial"/>
            <w:color w:val="004494"/>
          </w:rPr>
          <w:t>INFR(2021)2263</w:t>
        </w:r>
      </w:hyperlink>
      <w:r w:rsidRPr="000F7C7D">
        <w:rPr>
          <w:color w:val="404040"/>
          <w:szCs w:val="18"/>
        </w:rPr>
        <w:t>], pe motiv că unele dispoziții ale </w:t>
      </w:r>
      <w:hyperlink r:id="rId233" w:history="1">
        <w:r w:rsidRPr="000F7C7D">
          <w:rPr>
            <w:rStyle w:val="Hyperlink"/>
            <w:rFonts w:cs="Arial"/>
            <w:color w:val="004494"/>
          </w:rPr>
          <w:t>Deciziei-cadru</w:t>
        </w:r>
      </w:hyperlink>
      <w:hyperlink r:id="rId234" w:history="1"/>
      <w:r w:rsidRPr="000F7C7D">
        <w:rPr>
          <w:color w:val="404040"/>
          <w:szCs w:val="18"/>
        </w:rPr>
        <w:t> privind mandatul european de arestare nu au fost transpuse corect, în ceea ce privește, de exemplu, termenele de luare a unei decizii cu privire la executarea unui mandat european de arestare sau la predarea unei persoane căutate.</w:t>
      </w:r>
    </w:p>
    <w:p w14:paraId="6E5A42E2"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Mandatul european de arestare constituie o procedură judiciară simplificată transfrontalieră de predare a unei persoane căutate în scopul derulării urmăririi penale sau al executării unei pedepse ori a unei măsuri de siguranță privative de libertate. Operațional de la 1 ianuarie 2004, mandatul european de arestare a înlocuit procedurile îndelungate de extrădare care existau anterior între statele membre ale UE.</w:t>
      </w:r>
    </w:p>
    <w:p w14:paraId="17C4D3E3"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Comisia a trimis scrisori de punere în întârziere altor 24 de state membre pentru nerespectarea obligației de transpunere a deciziei-cadru sau a obligației de a transpune anumite dispoziții ale acesteia. Luxemburgul și România au acum la dispoziție două luni pentru a răspunde Comisiei. În caz contrar, Comisia poate decide să trimită un aviz motivat. </w:t>
      </w:r>
    </w:p>
    <w:p w14:paraId="750161A3"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Style w:val="Strong"/>
          <w:color w:val="404040"/>
        </w:rPr>
        <w:t>Context</w:t>
      </w:r>
    </w:p>
    <w:p w14:paraId="510B9091"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43B5E94F" w14:textId="6151C593" w:rsidR="000F7C7D" w:rsidRPr="000F7C7D" w:rsidRDefault="000F7C7D" w:rsidP="000F7C7D">
      <w:pPr>
        <w:pStyle w:val="NormalWeb"/>
        <w:spacing w:before="120" w:beforeAutospacing="0" w:after="0" w:afterAutospacing="0"/>
        <w:rPr>
          <w:rFonts w:ascii="Verdana" w:hAnsi="Verdana"/>
          <w:color w:val="404040"/>
          <w:sz w:val="18"/>
          <w:szCs w:val="18"/>
        </w:rPr>
      </w:pPr>
      <w:hyperlink r:id="rId235" w:history="1">
        <w:r w:rsidRPr="000F7C7D">
          <w:rPr>
            <w:rStyle w:val="Hyperlink"/>
            <w:rFonts w:cs="Arial"/>
            <w:color w:val="004494"/>
          </w:rPr>
          <w:t>Etapele procedurilor de constatare a neîndeplinirii obligațiilor.</w:t>
        </w:r>
      </w:hyperlink>
      <w:hyperlink r:id="rId236" w:history="1"/>
    </w:p>
    <w:p w14:paraId="34C46559"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Pentru mai multe detalii referitoare la toate deciziile luate, vă rugăm să consultați </w:t>
      </w:r>
      <w:hyperlink r:id="rId237" w:history="1">
        <w:r w:rsidRPr="000F7C7D">
          <w:rPr>
            <w:rStyle w:val="Hyperlink"/>
            <w:rFonts w:cs="Arial"/>
            <w:color w:val="004494"/>
          </w:rPr>
          <w:t>registrul deciziilor în constatarea neîndeplinirii obligațiilor.</w:t>
        </w:r>
      </w:hyperlink>
    </w:p>
    <w:p w14:paraId="3815BC43" w14:textId="5DE92248" w:rsidR="000F7C7D" w:rsidRPr="000F7C7D" w:rsidRDefault="000F7C7D" w:rsidP="00815D20">
      <w:pPr>
        <w:pStyle w:val="separatorarticole"/>
      </w:pPr>
      <w:r w:rsidRPr="000F7C7D">
        <w:t>*</w:t>
      </w:r>
    </w:p>
    <w:p w14:paraId="673B8CC7" w14:textId="77777777" w:rsidR="000F7C7D" w:rsidRPr="000F7C7D" w:rsidRDefault="000F7C7D" w:rsidP="00815D20">
      <w:pPr>
        <w:pStyle w:val="TitluArticolinINFOUE"/>
        <w:rPr>
          <w:lang w:eastAsia="ro-RO"/>
        </w:rPr>
      </w:pPr>
      <w:bookmarkStart w:id="173" w:name="_Toc104197301"/>
      <w:r w:rsidRPr="000F7C7D">
        <w:t>Energie din surse regenerabile: Comisia îndeamnă România să transpună Directiva privind energia din surse regenerabile</w:t>
      </w:r>
      <w:bookmarkEnd w:id="173"/>
    </w:p>
    <w:p w14:paraId="7294A4AD" w14:textId="77777777" w:rsidR="000F7C7D" w:rsidRPr="000F7C7D" w:rsidRDefault="000F7C7D" w:rsidP="000F7C7D">
      <w:pPr>
        <w:pStyle w:val="ecl-page-header-standardiseddescription"/>
        <w:shd w:val="clear" w:color="auto" w:fill="FFFFFF"/>
        <w:spacing w:before="120" w:beforeAutospacing="0" w:after="0" w:afterAutospacing="0"/>
        <w:rPr>
          <w:rFonts w:ascii="Verdana" w:hAnsi="Verdana" w:cs="Arial"/>
          <w:color w:val="404040"/>
          <w:sz w:val="18"/>
          <w:szCs w:val="18"/>
        </w:rPr>
      </w:pPr>
      <w:r w:rsidRPr="000F7C7D">
        <w:rPr>
          <w:rFonts w:ascii="Verdana" w:hAnsi="Verdana" w:cs="Arial"/>
          <w:color w:val="404040"/>
          <w:sz w:val="18"/>
          <w:szCs w:val="18"/>
        </w:rPr>
        <w:t>Energie din surse regenerabile: Comisia îndeamnă Croația, Cirpul, Germania, Grecia, Ungaria, Irlanda, Luxemburgul, Polonia, Portugalia și România să transpună Directiva privind energia din surse regenerabile.</w:t>
      </w:r>
    </w:p>
    <w:p w14:paraId="4F1E21FC" w14:textId="4D8A9D04"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Comisia a decis astăzi, 19 mai, să trimită </w:t>
      </w:r>
      <w:r w:rsidRPr="000F7C7D">
        <w:rPr>
          <w:rStyle w:val="Strong"/>
          <w:color w:val="404040"/>
        </w:rPr>
        <w:t>avize motivate </w:t>
      </w:r>
      <w:r w:rsidRPr="000F7C7D">
        <w:rPr>
          <w:rFonts w:ascii="Verdana" w:hAnsi="Verdana"/>
          <w:color w:val="404040"/>
          <w:sz w:val="18"/>
          <w:szCs w:val="18"/>
        </w:rPr>
        <w:t>Croației [</w:t>
      </w:r>
      <w:hyperlink r:id="rId238" w:history="1">
        <w:r w:rsidRPr="000F7C7D">
          <w:rPr>
            <w:rStyle w:val="Hyperlink"/>
            <w:rFonts w:cs="Arial"/>
            <w:color w:val="004494"/>
          </w:rPr>
          <w:t>INFR(2021)0248</w:t>
        </w:r>
      </w:hyperlink>
      <w:r w:rsidRPr="000F7C7D">
        <w:rPr>
          <w:rFonts w:ascii="Verdana" w:hAnsi="Verdana"/>
          <w:color w:val="404040"/>
          <w:sz w:val="18"/>
          <w:szCs w:val="18"/>
        </w:rPr>
        <w:t>]</w:t>
      </w:r>
      <w:r w:rsidRPr="000F7C7D">
        <w:rPr>
          <w:rStyle w:val="Strong"/>
          <w:color w:val="404040"/>
        </w:rPr>
        <w:t>, </w:t>
      </w:r>
      <w:r w:rsidRPr="000F7C7D">
        <w:rPr>
          <w:rFonts w:ascii="Verdana" w:hAnsi="Verdana"/>
          <w:color w:val="404040"/>
          <w:sz w:val="18"/>
          <w:szCs w:val="18"/>
        </w:rPr>
        <w:t>Ciprului [</w:t>
      </w:r>
      <w:hyperlink r:id="rId239" w:history="1">
        <w:r w:rsidRPr="000F7C7D">
          <w:rPr>
            <w:rStyle w:val="Hyperlink"/>
            <w:rFonts w:cs="Arial"/>
            <w:color w:val="004494"/>
          </w:rPr>
          <w:t>INFR(2021)0169</w:t>
        </w:r>
      </w:hyperlink>
      <w:r w:rsidRPr="000F7C7D">
        <w:rPr>
          <w:rFonts w:ascii="Verdana" w:hAnsi="Verdana"/>
          <w:color w:val="404040"/>
          <w:sz w:val="18"/>
          <w:szCs w:val="18"/>
        </w:rPr>
        <w:t>]</w:t>
      </w:r>
      <w:r w:rsidRPr="000F7C7D">
        <w:rPr>
          <w:rStyle w:val="Strong"/>
          <w:color w:val="404040"/>
        </w:rPr>
        <w:t>, </w:t>
      </w:r>
      <w:r w:rsidRPr="000F7C7D">
        <w:rPr>
          <w:rFonts w:ascii="Verdana" w:hAnsi="Verdana"/>
          <w:color w:val="404040"/>
          <w:sz w:val="18"/>
          <w:szCs w:val="18"/>
        </w:rPr>
        <w:t>Germaniei [</w:t>
      </w:r>
      <w:hyperlink r:id="rId240" w:history="1">
        <w:r w:rsidRPr="000F7C7D">
          <w:rPr>
            <w:rStyle w:val="Hyperlink"/>
            <w:rFonts w:cs="Arial"/>
            <w:color w:val="004494"/>
          </w:rPr>
          <w:t>INFR(2021)0192</w:t>
        </w:r>
      </w:hyperlink>
      <w:r w:rsidRPr="000F7C7D">
        <w:rPr>
          <w:rFonts w:ascii="Verdana" w:hAnsi="Verdana"/>
          <w:color w:val="404040"/>
          <w:sz w:val="18"/>
          <w:szCs w:val="18"/>
        </w:rPr>
        <w:t>]</w:t>
      </w:r>
      <w:r w:rsidRPr="000F7C7D">
        <w:rPr>
          <w:rStyle w:val="Strong"/>
          <w:color w:val="404040"/>
        </w:rPr>
        <w:t>, </w:t>
      </w:r>
      <w:r w:rsidRPr="000F7C7D">
        <w:rPr>
          <w:rFonts w:ascii="Verdana" w:hAnsi="Verdana"/>
          <w:color w:val="404040"/>
          <w:sz w:val="18"/>
          <w:szCs w:val="18"/>
        </w:rPr>
        <w:t>Greciei [</w:t>
      </w:r>
      <w:hyperlink r:id="rId241" w:history="1">
        <w:r w:rsidRPr="000F7C7D">
          <w:rPr>
            <w:rStyle w:val="Hyperlink"/>
            <w:rFonts w:cs="Arial"/>
            <w:color w:val="004494"/>
          </w:rPr>
          <w:t>INFR(2021)0209</w:t>
        </w:r>
      </w:hyperlink>
      <w:r w:rsidRPr="000F7C7D">
        <w:rPr>
          <w:rFonts w:ascii="Verdana" w:hAnsi="Verdana"/>
          <w:color w:val="404040"/>
          <w:sz w:val="18"/>
          <w:szCs w:val="18"/>
        </w:rPr>
        <w:t>]</w:t>
      </w:r>
      <w:r w:rsidRPr="000F7C7D">
        <w:rPr>
          <w:rStyle w:val="Strong"/>
          <w:color w:val="404040"/>
        </w:rPr>
        <w:t>, </w:t>
      </w:r>
      <w:r w:rsidRPr="000F7C7D">
        <w:rPr>
          <w:rFonts w:ascii="Verdana" w:hAnsi="Verdana"/>
          <w:color w:val="404040"/>
          <w:sz w:val="18"/>
          <w:szCs w:val="18"/>
        </w:rPr>
        <w:t>Ungariei [</w:t>
      </w:r>
      <w:hyperlink r:id="rId242" w:history="1">
        <w:r w:rsidRPr="000F7C7D">
          <w:rPr>
            <w:rStyle w:val="Hyperlink"/>
            <w:rFonts w:cs="Arial"/>
            <w:color w:val="004494"/>
          </w:rPr>
          <w:t>INFR(2021)0256</w:t>
        </w:r>
      </w:hyperlink>
      <w:r w:rsidRPr="000F7C7D">
        <w:rPr>
          <w:rFonts w:ascii="Verdana" w:hAnsi="Verdana"/>
          <w:color w:val="404040"/>
          <w:sz w:val="18"/>
          <w:szCs w:val="18"/>
        </w:rPr>
        <w:t>]</w:t>
      </w:r>
      <w:r w:rsidRPr="000F7C7D">
        <w:rPr>
          <w:rStyle w:val="Strong"/>
          <w:color w:val="404040"/>
        </w:rPr>
        <w:t>, </w:t>
      </w:r>
      <w:r w:rsidRPr="000F7C7D">
        <w:rPr>
          <w:rFonts w:ascii="Verdana" w:hAnsi="Verdana"/>
          <w:color w:val="404040"/>
          <w:sz w:val="18"/>
          <w:szCs w:val="18"/>
        </w:rPr>
        <w:t>Irlandei [</w:t>
      </w:r>
      <w:hyperlink r:id="rId243" w:history="1">
        <w:r w:rsidRPr="000F7C7D">
          <w:rPr>
            <w:rStyle w:val="Hyperlink"/>
            <w:rFonts w:cs="Arial"/>
            <w:color w:val="004494"/>
          </w:rPr>
          <w:t>INFR(2021)0260</w:t>
        </w:r>
      </w:hyperlink>
      <w:r w:rsidRPr="000F7C7D">
        <w:rPr>
          <w:rFonts w:ascii="Verdana" w:hAnsi="Verdana"/>
          <w:color w:val="404040"/>
          <w:sz w:val="18"/>
          <w:szCs w:val="18"/>
        </w:rPr>
        <w:t>]</w:t>
      </w:r>
      <w:r w:rsidRPr="000F7C7D">
        <w:rPr>
          <w:rStyle w:val="Strong"/>
          <w:color w:val="404040"/>
        </w:rPr>
        <w:t>, </w:t>
      </w:r>
      <w:r w:rsidRPr="000F7C7D">
        <w:rPr>
          <w:rFonts w:ascii="Verdana" w:hAnsi="Verdana"/>
          <w:color w:val="404040"/>
          <w:sz w:val="18"/>
          <w:szCs w:val="18"/>
        </w:rPr>
        <w:t>Luxemburgului [</w:t>
      </w:r>
      <w:hyperlink r:id="rId244" w:history="1">
        <w:r w:rsidRPr="000F7C7D">
          <w:rPr>
            <w:rStyle w:val="Hyperlink"/>
            <w:rFonts w:cs="Arial"/>
            <w:color w:val="004494"/>
          </w:rPr>
          <w:t>INFR(2021)0286</w:t>
        </w:r>
      </w:hyperlink>
      <w:r w:rsidRPr="000F7C7D">
        <w:rPr>
          <w:rFonts w:ascii="Verdana" w:hAnsi="Verdana"/>
          <w:color w:val="404040"/>
          <w:sz w:val="18"/>
          <w:szCs w:val="18"/>
        </w:rPr>
        <w:t>]</w:t>
      </w:r>
      <w:r w:rsidRPr="000F7C7D">
        <w:rPr>
          <w:rStyle w:val="Strong"/>
          <w:color w:val="404040"/>
        </w:rPr>
        <w:t>, </w:t>
      </w:r>
      <w:r w:rsidRPr="000F7C7D">
        <w:rPr>
          <w:rFonts w:ascii="Verdana" w:hAnsi="Verdana"/>
          <w:color w:val="404040"/>
          <w:sz w:val="18"/>
          <w:szCs w:val="18"/>
        </w:rPr>
        <w:t>Poloniei [</w:t>
      </w:r>
      <w:hyperlink r:id="rId245" w:history="1">
        <w:r w:rsidRPr="000F7C7D">
          <w:rPr>
            <w:rStyle w:val="Hyperlink"/>
            <w:rFonts w:cs="Arial"/>
            <w:color w:val="004494"/>
          </w:rPr>
          <w:t>INFR(2021)0317</w:t>
        </w:r>
      </w:hyperlink>
      <w:r w:rsidRPr="000F7C7D">
        <w:rPr>
          <w:rFonts w:ascii="Verdana" w:hAnsi="Verdana"/>
          <w:color w:val="404040"/>
          <w:sz w:val="18"/>
          <w:szCs w:val="18"/>
        </w:rPr>
        <w:t>]</w:t>
      </w:r>
      <w:r w:rsidRPr="000F7C7D">
        <w:rPr>
          <w:rStyle w:val="Strong"/>
          <w:color w:val="404040"/>
        </w:rPr>
        <w:t>, </w:t>
      </w:r>
      <w:r w:rsidRPr="000F7C7D">
        <w:rPr>
          <w:rFonts w:ascii="Verdana" w:hAnsi="Verdana"/>
          <w:color w:val="404040"/>
          <w:sz w:val="18"/>
          <w:szCs w:val="18"/>
        </w:rPr>
        <w:t>Portugaliei [</w:t>
      </w:r>
      <w:hyperlink r:id="rId246" w:history="1">
        <w:r w:rsidRPr="000F7C7D">
          <w:rPr>
            <w:rStyle w:val="Hyperlink"/>
            <w:rFonts w:cs="Arial"/>
            <w:color w:val="004494"/>
          </w:rPr>
          <w:t>INFR(2021)0326</w:t>
        </w:r>
      </w:hyperlink>
      <w:r w:rsidRPr="000F7C7D">
        <w:rPr>
          <w:rFonts w:ascii="Verdana" w:hAnsi="Verdana"/>
          <w:color w:val="404040"/>
          <w:sz w:val="18"/>
          <w:szCs w:val="18"/>
        </w:rPr>
        <w:t>] și</w:t>
      </w:r>
      <w:r w:rsidRPr="000F7C7D">
        <w:rPr>
          <w:rStyle w:val="Strong"/>
          <w:color w:val="404040"/>
        </w:rPr>
        <w:t> </w:t>
      </w:r>
      <w:r w:rsidRPr="000F7C7D">
        <w:rPr>
          <w:rFonts w:ascii="Verdana" w:hAnsi="Verdana"/>
          <w:color w:val="404040"/>
          <w:sz w:val="18"/>
          <w:szCs w:val="18"/>
        </w:rPr>
        <w:t>României [</w:t>
      </w:r>
      <w:hyperlink r:id="rId247" w:history="1">
        <w:r w:rsidRPr="000F7C7D">
          <w:rPr>
            <w:rStyle w:val="Hyperlink"/>
            <w:rFonts w:cs="Arial"/>
            <w:color w:val="004494"/>
          </w:rPr>
          <w:t>INFR(2021)0333</w:t>
        </w:r>
      </w:hyperlink>
      <w:r w:rsidRPr="000F7C7D">
        <w:rPr>
          <w:rFonts w:ascii="Verdana" w:hAnsi="Verdana"/>
          <w:color w:val="404040"/>
          <w:sz w:val="18"/>
          <w:szCs w:val="18"/>
        </w:rPr>
        <w:t xml:space="preserve">] pentru </w:t>
      </w:r>
      <w:r w:rsidRPr="000F7C7D">
        <w:rPr>
          <w:rFonts w:ascii="Verdana" w:hAnsi="Verdana"/>
          <w:color w:val="404040"/>
          <w:sz w:val="18"/>
          <w:szCs w:val="18"/>
        </w:rPr>
        <w:lastRenderedPageBreak/>
        <w:t>că nu au transpus integral normele UE privind promovarea utilizării energiei din surse regenerabile prevăzute în </w:t>
      </w:r>
      <w:hyperlink r:id="rId248" w:history="1">
        <w:r w:rsidRPr="000F7C7D">
          <w:rPr>
            <w:rStyle w:val="Hyperlink"/>
            <w:rFonts w:cs="Arial"/>
            <w:color w:val="004494"/>
          </w:rPr>
          <w:t>Directiva (UE) 2018/2001</w:t>
        </w:r>
      </w:hyperlink>
      <w:hyperlink r:id="rId249" w:history="1"/>
      <w:r w:rsidRPr="000F7C7D">
        <w:rPr>
          <w:rFonts w:ascii="Verdana" w:hAnsi="Verdana"/>
          <w:color w:val="404040"/>
          <w:sz w:val="18"/>
          <w:szCs w:val="18"/>
        </w:rPr>
        <w:t>.</w:t>
      </w:r>
    </w:p>
    <w:p w14:paraId="520AB163" w14:textId="59B67F4A" w:rsidR="000F7C7D" w:rsidRPr="000F7C7D" w:rsidRDefault="00815D20" w:rsidP="000F7C7D">
      <w:pPr>
        <w:pStyle w:val="NormalWeb"/>
        <w:spacing w:before="120" w:beforeAutospacing="0" w:after="0" w:afterAutospacing="0"/>
        <w:rPr>
          <w:rFonts w:ascii="Verdana" w:hAnsi="Verdana"/>
          <w:color w:val="404040"/>
          <w:sz w:val="18"/>
          <w:szCs w:val="18"/>
        </w:rPr>
      </w:pPr>
      <w:r w:rsidRPr="000F7C7D">
        <w:rPr>
          <w:rFonts w:ascii="Verdana" w:hAnsi="Verdana"/>
          <w:noProof/>
          <w:sz w:val="18"/>
          <w:szCs w:val="18"/>
          <w:lang w:eastAsia="ro-RO"/>
        </w:rPr>
        <w:drawing>
          <wp:anchor distT="0" distB="0" distL="114300" distR="114300" simplePos="0" relativeHeight="252102656" behindDoc="0" locked="0" layoutInCell="1" allowOverlap="1" wp14:anchorId="18C9ED57" wp14:editId="6B1A1F9F">
            <wp:simplePos x="0" y="0"/>
            <wp:positionH relativeFrom="column">
              <wp:posOffset>2540</wp:posOffset>
            </wp:positionH>
            <wp:positionV relativeFrom="paragraph">
              <wp:posOffset>66675</wp:posOffset>
            </wp:positionV>
            <wp:extent cx="2238375" cy="1497520"/>
            <wp:effectExtent l="0" t="0" r="0" b="7620"/>
            <wp:wrapSquare wrapText="bothSides"/>
            <wp:docPr id="21" name="Picture 21" descr="Infringement Energie Regener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fringement Energie Regenerabila"/>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2238375" cy="1497520"/>
                    </a:xfrm>
                    <a:prstGeom prst="rect">
                      <a:avLst/>
                    </a:prstGeom>
                    <a:noFill/>
                    <a:ln>
                      <a:noFill/>
                    </a:ln>
                  </pic:spPr>
                </pic:pic>
              </a:graphicData>
            </a:graphic>
          </wp:anchor>
        </w:drawing>
      </w:r>
      <w:r w:rsidR="000F7C7D" w:rsidRPr="000F7C7D">
        <w:rPr>
          <w:rFonts w:ascii="Verdana" w:hAnsi="Verdana"/>
          <w:color w:val="404040"/>
          <w:sz w:val="18"/>
          <w:szCs w:val="18"/>
        </w:rPr>
        <w:t>Această directivă oferă cadrul juridic pentru dezvoltarea energiei din surse regenerabile în sectorul energiei electrice, al încălzirii și răcirii și al transporturilor din UE. Directiva stabilește instituirea unui obiectiv obligatoriu la nivelul UE pentru 2030 privind atingerea unei ponderi de cel puțin 32 % a energiei din surse regenerabile și include măsuri de asigurare a faptului că sprijinul pentru energia din surse regenerabile este rentabil, precum și de simplificare a procedurilor administrative pentru proiectele privind energia din surse regenerabile.</w:t>
      </w:r>
    </w:p>
    <w:p w14:paraId="7F4411EE"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De asemenea, aceasta facilitează participarea cetățenilor la tranziția energetică și stabilește obiective specifice de creștere a ponderii energiei din surse regenerabile în sectorul încălzirii și răcirii și în sectorul transporturilor până în 2030. În plus, aceasta consolidează criteriile pentru asigurarea durabilității bioenergiei. Termenul-limită pentru transpunerea directivei respective în dreptul intern a fost 30 iunie 2021.</w:t>
      </w:r>
    </w:p>
    <w:p w14:paraId="7170D809"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În iulie 2021, Comisia a trimis o scrisoare de punere în întârziere tuturor statelor membre respective. Până în prezent, Croația, Germania, Ungaria, Polonia, Portugalia și România nu au reușit să furnizeze Comisiei informații clare și precise cu privire la dispozițiile naționale care transpun fiecare dispoziție a directivei, iar Ciprul, Grecia, Irlanda și Luxemburgul au notificat doar parțial măsurile naționale de transpunere a directivei.</w:t>
      </w:r>
    </w:p>
    <w:p w14:paraId="111CC5C9"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Statele respective au acum la dispoziție două luni pentru a se conforma obligației de transpunere și pentru a notifica Comisia. În caz contrar, Comisia poate decide să sesizeze Curtea de Justiție a Uniunii Europene cu privire la aceste cazuri.</w:t>
      </w:r>
    </w:p>
    <w:p w14:paraId="17DC74E2"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Style w:val="Strong"/>
          <w:color w:val="404040"/>
        </w:rPr>
        <w:t>Context</w:t>
      </w:r>
    </w:p>
    <w:p w14:paraId="7F7CB2CD"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6DE46538" w14:textId="6B5E718F" w:rsidR="000F7C7D" w:rsidRPr="000F7C7D" w:rsidRDefault="000F7C7D" w:rsidP="000F7C7D">
      <w:pPr>
        <w:pStyle w:val="NormalWeb"/>
        <w:spacing w:before="120" w:beforeAutospacing="0" w:after="0" w:afterAutospacing="0"/>
        <w:rPr>
          <w:rFonts w:ascii="Verdana" w:hAnsi="Verdana"/>
          <w:color w:val="404040"/>
          <w:sz w:val="18"/>
          <w:szCs w:val="18"/>
        </w:rPr>
      </w:pPr>
      <w:hyperlink r:id="rId251" w:history="1">
        <w:r w:rsidRPr="000F7C7D">
          <w:rPr>
            <w:rStyle w:val="Hyperlink"/>
            <w:rFonts w:cs="Arial"/>
            <w:color w:val="004494"/>
          </w:rPr>
          <w:t>Etapele procedurilor de constatare a neîndeplinirii obligațiilor.</w:t>
        </w:r>
      </w:hyperlink>
      <w:hyperlink r:id="rId252" w:history="1"/>
    </w:p>
    <w:p w14:paraId="6E0C1432"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Pentru mai multe detalii referitoare la toate deciziile luate, vă rugăm să consultați </w:t>
      </w:r>
      <w:hyperlink r:id="rId253" w:history="1">
        <w:r w:rsidRPr="000F7C7D">
          <w:rPr>
            <w:rStyle w:val="Hyperlink"/>
            <w:rFonts w:cs="Arial"/>
            <w:color w:val="004494"/>
          </w:rPr>
          <w:t>registrul deciziilor în constatarea neîndeplinirii obligațiilor.</w:t>
        </w:r>
      </w:hyperlink>
    </w:p>
    <w:p w14:paraId="3F354BE2" w14:textId="77777777" w:rsidR="000F7C7D" w:rsidRPr="000F7C7D" w:rsidRDefault="000F7C7D" w:rsidP="00815D20">
      <w:pPr>
        <w:pStyle w:val="TitluArticolinINFOUE"/>
        <w:rPr>
          <w:lang w:eastAsia="ro-RO"/>
        </w:rPr>
      </w:pPr>
      <w:bookmarkStart w:id="174" w:name="_Toc104197302"/>
      <w:r w:rsidRPr="000F7C7D">
        <w:t>Directiva privind datele deschise: Comisia solicită României și Sloveniei să respecte normele UE privind datele deschise și reutilizarea datelor din sectorul public</w:t>
      </w:r>
      <w:bookmarkEnd w:id="174"/>
    </w:p>
    <w:p w14:paraId="7AACE52E" w14:textId="77777777" w:rsidR="000F7C7D" w:rsidRPr="000F7C7D" w:rsidRDefault="000F7C7D" w:rsidP="000F7C7D">
      <w:pPr>
        <w:pStyle w:val="ecl-page-header-standardiseddescription"/>
        <w:shd w:val="clear" w:color="auto" w:fill="FFFFFF"/>
        <w:spacing w:before="120" w:beforeAutospacing="0" w:after="0" w:afterAutospacing="0"/>
        <w:rPr>
          <w:rFonts w:ascii="Verdana" w:hAnsi="Verdana" w:cs="Arial"/>
          <w:color w:val="404040"/>
          <w:sz w:val="18"/>
          <w:szCs w:val="18"/>
        </w:rPr>
      </w:pPr>
      <w:r w:rsidRPr="000F7C7D">
        <w:rPr>
          <w:rFonts w:ascii="Verdana" w:hAnsi="Verdana" w:cs="Arial"/>
          <w:color w:val="404040"/>
          <w:sz w:val="18"/>
          <w:szCs w:val="18"/>
        </w:rPr>
        <w:t>Directiva privind datele deschise: Comisia solicită României și Sloveniei să respecte normele UE privind datele deschise și reutilizarea datelor din sectorul public.</w:t>
      </w:r>
    </w:p>
    <w:p w14:paraId="35915516" w14:textId="00FF6A89" w:rsidR="000F7C7D" w:rsidRPr="000F7C7D" w:rsidRDefault="00815D20" w:rsidP="000F7C7D">
      <w:pPr>
        <w:pStyle w:val="NormalWeb"/>
        <w:spacing w:before="120" w:beforeAutospacing="0" w:after="0" w:afterAutospacing="0"/>
        <w:rPr>
          <w:rFonts w:ascii="Verdana" w:hAnsi="Verdana"/>
          <w:color w:val="404040"/>
          <w:sz w:val="18"/>
          <w:szCs w:val="18"/>
        </w:rPr>
      </w:pPr>
      <w:r w:rsidRPr="000F7C7D">
        <w:rPr>
          <w:rFonts w:ascii="Verdana" w:hAnsi="Verdana"/>
          <w:noProof/>
          <w:sz w:val="18"/>
          <w:szCs w:val="18"/>
          <w:lang w:eastAsia="ro-RO"/>
        </w:rPr>
        <w:drawing>
          <wp:anchor distT="0" distB="0" distL="114300" distR="114300" simplePos="0" relativeHeight="252103680" behindDoc="0" locked="0" layoutInCell="1" allowOverlap="1" wp14:anchorId="4BBAC779" wp14:editId="7E7A8B05">
            <wp:simplePos x="0" y="0"/>
            <wp:positionH relativeFrom="column">
              <wp:posOffset>2969</wp:posOffset>
            </wp:positionH>
            <wp:positionV relativeFrom="paragraph">
              <wp:posOffset>471170</wp:posOffset>
            </wp:positionV>
            <wp:extent cx="2009775" cy="1344582"/>
            <wp:effectExtent l="0" t="0" r="0" b="8255"/>
            <wp:wrapSquare wrapText="bothSides"/>
            <wp:docPr id="22" name="Picture 22" descr="Infringement Date Desch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fringement Date Deschise"/>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2009775" cy="1344582"/>
                    </a:xfrm>
                    <a:prstGeom prst="rect">
                      <a:avLst/>
                    </a:prstGeom>
                    <a:noFill/>
                    <a:ln>
                      <a:noFill/>
                    </a:ln>
                  </pic:spPr>
                </pic:pic>
              </a:graphicData>
            </a:graphic>
          </wp:anchor>
        </w:drawing>
      </w:r>
      <w:r w:rsidR="000F7C7D" w:rsidRPr="000F7C7D">
        <w:rPr>
          <w:rFonts w:ascii="Verdana" w:hAnsi="Verdana"/>
          <w:color w:val="404040"/>
          <w:sz w:val="18"/>
          <w:szCs w:val="18"/>
        </w:rPr>
        <w:t>Astăzi, 19 mai, Comisia Europeană a trimis </w:t>
      </w:r>
      <w:r w:rsidR="000F7C7D" w:rsidRPr="000F7C7D">
        <w:rPr>
          <w:rStyle w:val="Strong"/>
          <w:color w:val="404040"/>
        </w:rPr>
        <w:t>avize motivate</w:t>
      </w:r>
      <w:r w:rsidR="000F7C7D" w:rsidRPr="000F7C7D">
        <w:rPr>
          <w:rFonts w:ascii="Verdana" w:hAnsi="Verdana"/>
          <w:color w:val="404040"/>
          <w:sz w:val="18"/>
          <w:szCs w:val="18"/>
        </w:rPr>
        <w:t> României [</w:t>
      </w:r>
      <w:hyperlink r:id="rId255" w:history="1">
        <w:r w:rsidR="000F7C7D" w:rsidRPr="000F7C7D">
          <w:rPr>
            <w:rStyle w:val="Hyperlink"/>
            <w:rFonts w:cs="Arial"/>
            <w:color w:val="004494"/>
          </w:rPr>
          <w:t>INFR(2021)0493</w:t>
        </w:r>
      </w:hyperlink>
      <w:r w:rsidR="000F7C7D" w:rsidRPr="000F7C7D">
        <w:rPr>
          <w:rFonts w:ascii="Verdana" w:hAnsi="Verdana"/>
          <w:color w:val="404040"/>
          <w:sz w:val="18"/>
          <w:szCs w:val="18"/>
        </w:rPr>
        <w:t>] și</w:t>
      </w:r>
      <w:r w:rsidR="000F7C7D" w:rsidRPr="000F7C7D">
        <w:rPr>
          <w:rStyle w:val="Strong"/>
          <w:color w:val="404040"/>
        </w:rPr>
        <w:t> </w:t>
      </w:r>
      <w:r w:rsidR="000F7C7D" w:rsidRPr="000F7C7D">
        <w:rPr>
          <w:rFonts w:ascii="Verdana" w:hAnsi="Verdana"/>
          <w:color w:val="404040"/>
          <w:sz w:val="18"/>
          <w:szCs w:val="18"/>
        </w:rPr>
        <w:t>Sloveniei [</w:t>
      </w:r>
      <w:hyperlink r:id="rId256" w:history="1">
        <w:r w:rsidR="000F7C7D" w:rsidRPr="000F7C7D">
          <w:rPr>
            <w:rStyle w:val="Hyperlink"/>
            <w:rFonts w:cs="Arial"/>
            <w:color w:val="004494"/>
          </w:rPr>
          <w:t>INFR(2021)0505</w:t>
        </w:r>
      </w:hyperlink>
      <w:r w:rsidR="000F7C7D" w:rsidRPr="000F7C7D">
        <w:rPr>
          <w:rFonts w:ascii="Verdana" w:hAnsi="Verdana"/>
          <w:color w:val="404040"/>
          <w:sz w:val="18"/>
          <w:szCs w:val="18"/>
        </w:rPr>
        <w:t>], solicitându-le să comunice informații cu privire la modul în care normele UE privind datele deschise și reutilizarea datelor din sectorul public [</w:t>
      </w:r>
      <w:hyperlink r:id="rId257" w:history="1">
        <w:r w:rsidR="000F7C7D" w:rsidRPr="000F7C7D">
          <w:rPr>
            <w:rStyle w:val="Hyperlink"/>
            <w:rFonts w:cs="Arial"/>
            <w:color w:val="004494"/>
          </w:rPr>
          <w:t>Directiva (UE) 2019/1024</w:t>
        </w:r>
      </w:hyperlink>
      <w:hyperlink r:id="rId258" w:history="1"/>
      <w:r w:rsidR="000F7C7D" w:rsidRPr="000F7C7D">
        <w:rPr>
          <w:rFonts w:ascii="Verdana" w:hAnsi="Verdana"/>
          <w:color w:val="404040"/>
          <w:sz w:val="18"/>
          <w:szCs w:val="18"/>
        </w:rPr>
        <w:t>, denumită Directiva privind datele deschise] sunt transpuse în dreptul intern. Deși termenul de transpunere a expirat la 17 iulie 2021, statele membre enumerate mai sus nu și-au comunicat încă toate măsurile naționale, în pofida scrisorilor de punere în întârziere trimise la 30 septembrie 2021.</w:t>
      </w:r>
    </w:p>
    <w:p w14:paraId="2379F620"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 xml:space="preserve">Directiva privind datele deschise și reutilizarea informațiilor din sectorul public, adoptată la 20 iunie 2019, urmărește să deblocheze beneficiile datelor și contribuie la punerea la dispoziție a unui volum mai mare și valoros de resurse de date produse de sectorul public în vederea reutilizării. Acest lucru va reduce barierele la intrarea pe piață pentru IMM-uri prin reducerea costurilor de reutilizare a datelor, va pune la dispoziție mai multe </w:t>
      </w:r>
      <w:r w:rsidRPr="000F7C7D">
        <w:rPr>
          <w:rFonts w:ascii="Verdana" w:hAnsi="Verdana"/>
          <w:color w:val="404040"/>
          <w:sz w:val="18"/>
          <w:szCs w:val="18"/>
        </w:rPr>
        <w:lastRenderedPageBreak/>
        <w:t>date și va spori oportunitățile de afaceri prin partajarea de date prin intermediul interfețelor de programare a aplicațiilor (API).</w:t>
      </w:r>
    </w:p>
    <w:p w14:paraId="18E3E7E5"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Directiva stimulează dezvoltarea de soluții inovatoare, cum ar fi aplicațiile de mobilitate, sporește transparența prin deschiderea accesului la datele provenite din cercetare care beneficiază de finanțare publică și sprijină noile tehnologii, inclusiv inteligența artificială. În absența unui răspuns satisfăcător din partea acestor state membre în termen de două luni, Comisia poate decide să sesizeze Curtea de Justiție a Uniunii Europene cu privire la această chestiune.</w:t>
      </w:r>
    </w:p>
    <w:p w14:paraId="7A43ED7E"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Style w:val="Strong"/>
          <w:color w:val="404040"/>
        </w:rPr>
        <w:t>Context</w:t>
      </w:r>
    </w:p>
    <w:p w14:paraId="1AFAE88C"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26B7FA62" w14:textId="64466956" w:rsidR="000F7C7D" w:rsidRPr="000F7C7D" w:rsidRDefault="000F7C7D" w:rsidP="000F7C7D">
      <w:pPr>
        <w:pStyle w:val="NormalWeb"/>
        <w:spacing w:before="120" w:beforeAutospacing="0" w:after="0" w:afterAutospacing="0"/>
        <w:rPr>
          <w:rFonts w:ascii="Verdana" w:hAnsi="Verdana"/>
          <w:color w:val="404040"/>
          <w:sz w:val="18"/>
          <w:szCs w:val="18"/>
        </w:rPr>
      </w:pPr>
      <w:hyperlink r:id="rId259" w:history="1">
        <w:r w:rsidRPr="000F7C7D">
          <w:rPr>
            <w:rStyle w:val="Hyperlink"/>
            <w:rFonts w:cs="Arial"/>
            <w:color w:val="004494"/>
          </w:rPr>
          <w:t>Etapele procedurilor de constatare a neîndeplinirii obligațiilor.</w:t>
        </w:r>
      </w:hyperlink>
      <w:hyperlink r:id="rId260" w:history="1"/>
    </w:p>
    <w:p w14:paraId="7B0D4BED"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Pentru mai multe detalii referitoare la toate deciziile luate, vă rugăm să consultați </w:t>
      </w:r>
      <w:hyperlink r:id="rId261" w:history="1">
        <w:r w:rsidRPr="000F7C7D">
          <w:rPr>
            <w:rStyle w:val="Hyperlink"/>
            <w:rFonts w:cs="Arial"/>
            <w:color w:val="004494"/>
          </w:rPr>
          <w:t>registrul deciziilor în constatarea neîndeplinirii obligațiilor.</w:t>
        </w:r>
      </w:hyperlink>
    </w:p>
    <w:p w14:paraId="25D35A49" w14:textId="7979FC7F" w:rsidR="000F7C7D" w:rsidRPr="000F7C7D" w:rsidRDefault="000F7C7D" w:rsidP="00E51247">
      <w:pPr>
        <w:pStyle w:val="separatorarticole"/>
      </w:pPr>
      <w:r w:rsidRPr="000F7C7D">
        <w:t>*</w:t>
      </w:r>
    </w:p>
    <w:p w14:paraId="433FEABD" w14:textId="77777777" w:rsidR="000F7C7D" w:rsidRPr="000F7C7D" w:rsidRDefault="000F7C7D" w:rsidP="00E51247">
      <w:pPr>
        <w:pStyle w:val="TitluArticolinINFOUE"/>
        <w:rPr>
          <w:lang w:eastAsia="ro-RO"/>
        </w:rPr>
      </w:pPr>
      <w:bookmarkStart w:id="175" w:name="_Toc104197303"/>
      <w:r w:rsidRPr="000F7C7D">
        <w:t>Ediția din 2022 a tabloului de bord privind justiția în UE: zece ani de monitorizare a eficacității sistemelor de justiție</w:t>
      </w:r>
      <w:bookmarkEnd w:id="175"/>
    </w:p>
    <w:p w14:paraId="061D1ACC" w14:textId="77777777" w:rsidR="000F7C7D" w:rsidRPr="000F7C7D" w:rsidRDefault="000F7C7D" w:rsidP="000F7C7D">
      <w:pPr>
        <w:pStyle w:val="ecl-page-header-standardiseddescription"/>
        <w:shd w:val="clear" w:color="auto" w:fill="FFFFFF"/>
        <w:spacing w:before="120" w:beforeAutospacing="0" w:after="0" w:afterAutospacing="0"/>
        <w:rPr>
          <w:rFonts w:ascii="Verdana" w:hAnsi="Verdana" w:cs="Arial"/>
          <w:color w:val="404040"/>
          <w:sz w:val="18"/>
          <w:szCs w:val="18"/>
        </w:rPr>
      </w:pPr>
      <w:r w:rsidRPr="000F7C7D">
        <w:rPr>
          <w:rFonts w:ascii="Verdana" w:hAnsi="Verdana" w:cs="Arial"/>
          <w:color w:val="404040"/>
          <w:sz w:val="18"/>
          <w:szCs w:val="18"/>
        </w:rPr>
        <w:t>Comisia Europeană a publicat astăzi, 19 mai, </w:t>
      </w:r>
      <w:hyperlink r:id="rId262" w:history="1">
        <w:r w:rsidRPr="000F7C7D">
          <w:rPr>
            <w:rStyle w:val="Hyperlink"/>
            <w:rFonts w:cs="Arial"/>
            <w:color w:val="004494"/>
          </w:rPr>
          <w:t>ediția din 2022, cea de a zecea, a tabloului de bord privind justiția în Uniunea Europeană</w:t>
        </w:r>
      </w:hyperlink>
      <w:r w:rsidRPr="000F7C7D">
        <w:rPr>
          <w:rFonts w:ascii="Verdana" w:hAnsi="Verdana" w:cs="Arial"/>
          <w:color w:val="404040"/>
          <w:sz w:val="18"/>
          <w:szCs w:val="18"/>
        </w:rPr>
        <w:t>.</w:t>
      </w:r>
    </w:p>
    <w:p w14:paraId="153BC622" w14:textId="0C79F198" w:rsidR="000F7C7D" w:rsidRPr="000F7C7D" w:rsidRDefault="000F7C7D" w:rsidP="00E51247">
      <w:pPr>
        <w:rPr>
          <w:color w:val="404040"/>
          <w:szCs w:val="18"/>
        </w:rPr>
      </w:pPr>
      <w:r w:rsidRPr="000F7C7D">
        <w:rPr>
          <w:noProof/>
          <w:szCs w:val="18"/>
          <w:lang w:eastAsia="ro-RO"/>
        </w:rPr>
        <w:drawing>
          <wp:anchor distT="0" distB="0" distL="114300" distR="114300" simplePos="0" relativeHeight="252104704" behindDoc="0" locked="0" layoutInCell="1" allowOverlap="1" wp14:anchorId="0B508963" wp14:editId="723F9667">
            <wp:simplePos x="0" y="0"/>
            <wp:positionH relativeFrom="column">
              <wp:posOffset>2540</wp:posOffset>
            </wp:positionH>
            <wp:positionV relativeFrom="paragraph">
              <wp:posOffset>72390</wp:posOffset>
            </wp:positionV>
            <wp:extent cx="1809750" cy="840750"/>
            <wp:effectExtent l="0" t="0" r="0" b="0"/>
            <wp:wrapSquare wrapText="bothSides"/>
            <wp:docPr id="23" name="Picture 23" descr="Scoreboard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oreboard2022"/>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809750" cy="840750"/>
                    </a:xfrm>
                    <a:prstGeom prst="rect">
                      <a:avLst/>
                    </a:prstGeom>
                    <a:noFill/>
                    <a:ln>
                      <a:noFill/>
                    </a:ln>
                  </pic:spPr>
                </pic:pic>
              </a:graphicData>
            </a:graphic>
          </wp:anchor>
        </w:drawing>
      </w:r>
      <w:r w:rsidRPr="000F7C7D">
        <w:rPr>
          <w:color w:val="404040"/>
          <w:szCs w:val="18"/>
        </w:rPr>
        <w:t>Aceasta reprezintă o imagine de ansamblu consacrată, cu date comparative asupra eficienței, calității și independenței sistemelor de justiție din statele membre. Pentru prima dată, tabloul de bord de anul acesta include date privind efectele pandemiei de COVID-19 asupra eficienței sistemelor de justiție și date privind măsura în care persoanele cu handicap au acces la justiție. Ediția din acest an are o dimensiune comercială mai importantă.</w:t>
      </w:r>
    </w:p>
    <w:p w14:paraId="312CBEC6"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Vicepreședinta pentru valori și transparență, Věra </w:t>
      </w:r>
      <w:r w:rsidRPr="000F7C7D">
        <w:rPr>
          <w:rStyle w:val="Strong"/>
          <w:color w:val="404040"/>
        </w:rPr>
        <w:t>Jourová</w:t>
      </w:r>
      <w:r w:rsidRPr="000F7C7D">
        <w:rPr>
          <w:rFonts w:ascii="Verdana" w:hAnsi="Verdana"/>
          <w:color w:val="404040"/>
          <w:sz w:val="18"/>
          <w:szCs w:val="18"/>
        </w:rPr>
        <w:t>, a declarat: </w:t>
      </w:r>
      <w:r w:rsidRPr="000F7C7D">
        <w:rPr>
          <w:rStyle w:val="Emphasis"/>
          <w:color w:val="404040"/>
        </w:rPr>
        <w:t>Tabloul de bord privind justiția în UE oferă informații importante cu privire la sistemele noastre de justiție și ne ajută să ne concentrăm pe ceea ce contează cel mai mult: asigurarea protecției statului de drept în întreaga Uniune Europeană. Este îngrijorător faptul că, în comparație cu anul trecut, percepția publicului asupra independenței sistemului judiciar a scăzut în aproape jumătate din ansamblul statelor membre, prin urmare, trebuie să acționăm cu toții pentru a restabili încrederea publicului în sistemul judiciar.</w:t>
      </w:r>
    </w:p>
    <w:p w14:paraId="1C9F8328"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Comisarul pentru justiție, Didier </w:t>
      </w:r>
      <w:r w:rsidRPr="000F7C7D">
        <w:rPr>
          <w:rStyle w:val="Strong"/>
          <w:color w:val="404040"/>
        </w:rPr>
        <w:t>Reynders</w:t>
      </w:r>
      <w:r w:rsidRPr="000F7C7D">
        <w:rPr>
          <w:rFonts w:ascii="Verdana" w:hAnsi="Verdana"/>
          <w:color w:val="404040"/>
          <w:sz w:val="18"/>
          <w:szCs w:val="18"/>
        </w:rPr>
        <w:t>, a adăugat: </w:t>
      </w:r>
      <w:r w:rsidRPr="000F7C7D">
        <w:rPr>
          <w:rStyle w:val="Emphasis"/>
          <w:color w:val="404040"/>
        </w:rPr>
        <w:t>Este cea de a zecea ediție a tabloului de bord privind justiția în UE, acest instrument de analiză foarte apreciat pentru comunitatea justiției din Europa. În ultimul deceniu, tabloul de bord a evoluat de la o imagine de ansamblu a unor indicatori de bază la o colecție cuprinzătoare de informații de înaltă calitate. Tabloul de bord ne ajută să identificăm atât oportunitățile de îmbunătățire, cât și riscurile la adresa sistemelor noastre de justiție. Aceste date obiective și de înaltă calitate reprezintă o bază esențială în sprijinul eforturilor noastre de a susține statul de drept și independența justiției.</w:t>
      </w:r>
    </w:p>
    <w:p w14:paraId="2E77451D"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Style w:val="Strong"/>
          <w:color w:val="404040"/>
        </w:rPr>
        <w:t>Principalele constatări ale ediției din 2022 a tabloului de bord:</w:t>
      </w:r>
    </w:p>
    <w:p w14:paraId="30A32A20" w14:textId="77777777" w:rsidR="000F7C7D" w:rsidRPr="000F7C7D" w:rsidRDefault="000F7C7D" w:rsidP="00E51247">
      <w:pPr>
        <w:numPr>
          <w:ilvl w:val="0"/>
          <w:numId w:val="24"/>
        </w:numPr>
        <w:ind w:left="0" w:firstLine="0"/>
        <w:rPr>
          <w:color w:val="404040"/>
          <w:szCs w:val="18"/>
        </w:rPr>
      </w:pPr>
      <w:r w:rsidRPr="000F7C7D">
        <w:rPr>
          <w:rStyle w:val="Strong"/>
          <w:color w:val="404040"/>
        </w:rPr>
        <w:t>Posibilități de îmbunătățire a digitalizării sistemelor de justiție</w:t>
      </w:r>
      <w:r w:rsidRPr="000F7C7D">
        <w:rPr>
          <w:color w:val="404040"/>
          <w:szCs w:val="18"/>
        </w:rPr>
        <w:t>: Dacă ediția din 2021 făcea bilanțul progreselor înregistrate de autoritățile judiciare în procesul de transformare digitală, tabloul de bord din 2022 ține seama și de efectele pandemiei de COVID-19. Mai multe state membre au adoptat noi măsuri pentru a asigura funcționarea normală a instanțelor, garantând, în același timp, un acces continuu și facil la justiție pentru toți. Cu toate acestea, constatările ediției din 2022 arată necesitatea ca statele membre să accelereze reformele de modernizare în acest domeniu, întrucât în unele state membre se mai pot aduce îmbunătățiri semnificative.</w:t>
      </w:r>
    </w:p>
    <w:p w14:paraId="7E93D720" w14:textId="77777777" w:rsidR="000F7C7D" w:rsidRPr="000F7C7D" w:rsidRDefault="000F7C7D" w:rsidP="00E51247">
      <w:pPr>
        <w:numPr>
          <w:ilvl w:val="0"/>
          <w:numId w:val="24"/>
        </w:numPr>
        <w:ind w:left="0" w:firstLine="0"/>
        <w:rPr>
          <w:color w:val="404040"/>
          <w:szCs w:val="18"/>
        </w:rPr>
      </w:pPr>
      <w:r w:rsidRPr="000F7C7D">
        <w:rPr>
          <w:rStyle w:val="Strong"/>
          <w:color w:val="404040"/>
        </w:rPr>
        <w:lastRenderedPageBreak/>
        <w:t>Grade diferite de accesibilitate la justiție pentru persoanele cu handicap:</w:t>
      </w:r>
      <w:r w:rsidRPr="000F7C7D">
        <w:rPr>
          <w:color w:val="404040"/>
          <w:szCs w:val="18"/>
        </w:rPr>
        <w:t> În ediția din 2022 a tabloului de bord al UE privind justiția s-au inclus în premieră date privind măsurile instituite pentru a sprijini persoanele cu handicap să aibă acces la justiție în condiții de egalitate. Deși toate statele membre au instituit cel puțin unele măsuri (cum ar fi amenajări procedurale), doar jumătate dintre statele membre oferă, de asemenea, formate specifice, cum ar fi alfabetul Braille sau limbajul semnelor, la cerere.</w:t>
      </w:r>
    </w:p>
    <w:p w14:paraId="08B0EE19" w14:textId="77777777" w:rsidR="000F7C7D" w:rsidRPr="000F7C7D" w:rsidRDefault="000F7C7D" w:rsidP="00E51247">
      <w:pPr>
        <w:numPr>
          <w:ilvl w:val="0"/>
          <w:numId w:val="24"/>
        </w:numPr>
        <w:ind w:left="0" w:firstLine="0"/>
        <w:rPr>
          <w:color w:val="404040"/>
          <w:szCs w:val="18"/>
        </w:rPr>
      </w:pPr>
      <w:r w:rsidRPr="000F7C7D">
        <w:rPr>
          <w:color w:val="404040"/>
          <w:szCs w:val="18"/>
        </w:rPr>
        <w:t>Rămân provocări în ceea ce privește percepția independenței sistemului judiciar: începând din 2016, percepția publicului larg s-a îmbunătățit în 17 state membre. Cu toate acestea, începând cu anul trecut, percepția publică asupra independenței sistemului judiciar a scăzut în 14 state membre. În câteva state membre, nivelul perceput al independenței rămâne deosebit de scăzut.</w:t>
      </w:r>
    </w:p>
    <w:p w14:paraId="06AAF826" w14:textId="77777777" w:rsidR="000F7C7D" w:rsidRPr="000F7C7D" w:rsidRDefault="000F7C7D" w:rsidP="00E51247">
      <w:pPr>
        <w:numPr>
          <w:ilvl w:val="0"/>
          <w:numId w:val="24"/>
        </w:numPr>
        <w:ind w:left="0" w:firstLine="0"/>
        <w:rPr>
          <w:color w:val="404040"/>
          <w:szCs w:val="18"/>
        </w:rPr>
      </w:pPr>
      <w:r w:rsidRPr="000F7C7D">
        <w:rPr>
          <w:rStyle w:val="Strong"/>
          <w:color w:val="404040"/>
        </w:rPr>
        <w:t>Garanții instituite pentru a spori încrederea investitorilor:</w:t>
      </w:r>
      <w:r w:rsidRPr="000F7C7D">
        <w:rPr>
          <w:color w:val="404040"/>
          <w:szCs w:val="18"/>
        </w:rPr>
        <w:t> În ceea ce privește accesul la justiție și impactul acestuia asupra încrederii investitorilor, a mediului de afaceri și a funcționării pieței unice, tabloul de bord din 2022 a inclus, de asemenea, date privind eficiența administrativă, garanțiile juridice în ceea ce privește deciziile administrative și încrederea în protecția investițiilor. Constatările arată că aproape toate statele membre au instituit măsuri pentru ca întreprinderile să primească compensații financiare pentru pierderile cauzate de decizii administrative sau de inacțiunea organelor administrative, instanțele putând suspenda executarea deciziilor administrative, la cerere.</w:t>
      </w:r>
    </w:p>
    <w:p w14:paraId="67FE6CB8"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Style w:val="Strong"/>
          <w:color w:val="404040"/>
        </w:rPr>
        <w:t>Etapele următoare</w:t>
      </w:r>
    </w:p>
    <w:p w14:paraId="269DC169"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Informațiile cuprinse în Tabloul de bord privind justiția în UE contribuie la monitorizarea efectuată în cadrul Mecanismului european privind statul de drept, concluziile fiind incluse în ediția din 2022 a raportului anual al Comisiei privind statul de drept. Ediția din 2022 a tabloului de bord privind justiția în UE cuprinde informații comparative suplimentare (cum ar fi un nou indicator privind controalele de securitate națională pentru judecători), a căror utilitate a reieșit în cursul pregătirii raportului privind statul de drept din 2021. Datele din tabloul de bord sunt, de asemenea, utilizate pentru monitorizarea planurilor naționale de redresare și reziliență.</w:t>
      </w:r>
    </w:p>
    <w:p w14:paraId="0D11A892"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Style w:val="Strong"/>
          <w:color w:val="404040"/>
        </w:rPr>
        <w:t>Context</w:t>
      </w:r>
    </w:p>
    <w:p w14:paraId="797CB131" w14:textId="2D9B8A26"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Lansat în 2013, tabloul de bord privind justiția în UE este utilizat de Comisie pentru a monitoriza reformele justiției în statele membre și este unul dintre instrumentele din </w:t>
      </w:r>
      <w:hyperlink r:id="rId264" w:history="1">
        <w:r w:rsidRPr="000F7C7D">
          <w:rPr>
            <w:rStyle w:val="Hyperlink"/>
            <w:rFonts w:cs="Arial"/>
            <w:color w:val="004494"/>
          </w:rPr>
          <w:t>setul de instrumente al UE privind statul de drept</w:t>
        </w:r>
      </w:hyperlink>
      <w:hyperlink r:id="rId265" w:history="1"/>
      <w:r w:rsidRPr="000F7C7D">
        <w:rPr>
          <w:rFonts w:ascii="Verdana" w:hAnsi="Verdana"/>
          <w:color w:val="404040"/>
          <w:sz w:val="18"/>
          <w:szCs w:val="18"/>
        </w:rPr>
        <w:t>. Tabloul de bord se axează pe cele trei elemente principale ale unui sistem judiciar eficace:</w:t>
      </w:r>
    </w:p>
    <w:p w14:paraId="3FA6A1EE" w14:textId="77777777" w:rsidR="000F7C7D" w:rsidRPr="000F7C7D" w:rsidRDefault="000F7C7D" w:rsidP="00E51247">
      <w:pPr>
        <w:numPr>
          <w:ilvl w:val="0"/>
          <w:numId w:val="25"/>
        </w:numPr>
        <w:ind w:left="0" w:firstLine="0"/>
        <w:rPr>
          <w:color w:val="404040"/>
          <w:szCs w:val="18"/>
        </w:rPr>
      </w:pPr>
      <w:r w:rsidRPr="000F7C7D">
        <w:rPr>
          <w:rStyle w:val="Strong"/>
          <w:color w:val="404040"/>
        </w:rPr>
        <w:t>Eficiența: </w:t>
      </w:r>
      <w:r w:rsidRPr="000F7C7D">
        <w:rPr>
          <w:color w:val="404040"/>
          <w:szCs w:val="18"/>
        </w:rPr>
        <w:t>indicatori privind durata procedurilor, rata de soluționare a cauzelor și numărul de cauze pendinte.</w:t>
      </w:r>
    </w:p>
    <w:p w14:paraId="769F0E7C" w14:textId="77777777" w:rsidR="000F7C7D" w:rsidRPr="000F7C7D" w:rsidRDefault="000F7C7D" w:rsidP="00E51247">
      <w:pPr>
        <w:numPr>
          <w:ilvl w:val="0"/>
          <w:numId w:val="25"/>
        </w:numPr>
        <w:ind w:left="0" w:firstLine="0"/>
        <w:rPr>
          <w:color w:val="404040"/>
          <w:szCs w:val="18"/>
        </w:rPr>
      </w:pPr>
      <w:r w:rsidRPr="000F7C7D">
        <w:rPr>
          <w:rStyle w:val="Strong"/>
          <w:color w:val="404040"/>
        </w:rPr>
        <w:t>Calitatea</w:t>
      </w:r>
      <w:r w:rsidRPr="000F7C7D">
        <w:rPr>
          <w:color w:val="404040"/>
          <w:szCs w:val="18"/>
        </w:rPr>
        <w:t>: indicatori privind accesibilitatea (cum ar fi asistența judiciară și taxele judiciare), formarea, bugetul, resursele umane și digitalizarea;</w:t>
      </w:r>
    </w:p>
    <w:p w14:paraId="4EFBA1E2" w14:textId="77777777" w:rsidR="000F7C7D" w:rsidRPr="000F7C7D" w:rsidRDefault="000F7C7D" w:rsidP="00E51247">
      <w:pPr>
        <w:numPr>
          <w:ilvl w:val="0"/>
          <w:numId w:val="25"/>
        </w:numPr>
        <w:ind w:left="0" w:firstLine="0"/>
        <w:rPr>
          <w:color w:val="404040"/>
          <w:szCs w:val="18"/>
        </w:rPr>
      </w:pPr>
      <w:r w:rsidRPr="000F7C7D">
        <w:rPr>
          <w:rStyle w:val="Strong"/>
          <w:color w:val="404040"/>
        </w:rPr>
        <w:t>Independența</w:t>
      </w:r>
      <w:r w:rsidRPr="000F7C7D">
        <w:rPr>
          <w:color w:val="404040"/>
          <w:szCs w:val="18"/>
        </w:rPr>
        <w:t>: indicatori privind percepția asupra independenței sistemului judiciar în rândul publicului larg și al întreprinderilor și privind garanțiile referitoare la judecători și la funcționarea organelor naționale de urmărire penală.</w:t>
      </w:r>
    </w:p>
    <w:p w14:paraId="267E383D"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La fel ca în edițiile anterioare, ediția din 2022 prezintă date din două sondaje Eurobarometru privind modul în care publicul și întreprinderile percep independența sistemului judiciar în fiecare stat membru. </w:t>
      </w:r>
    </w:p>
    <w:p w14:paraId="53404D88"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Constatările ediției din 2022 a tabloului de bord privind justiția în UE au fost luate în considerare în evaluarea specifică fiecărei țări din cadrul semestrului european 2022, precum și în evaluarea planurilor de reziliență și redresare ale statelor membre, subliniindu-se măsurile de investiții și de reformă care urmează să fie finanțate prin Mecanismul de redresare și reziliență (MRR). În 2021, Strategia anuală privind creșterea durabilă (care stabilește orientările strategice pentru punerea în aplicare a Mecanismului de redresare și reziliență, asigurând faptul că noua agendă pentru creștere se bazează pe o redresare verde, digitală și durabilă) reiterează legătura dintre sistemele de justiție eficace și mediul de afaceri din statele membre. Buna funcționare și independența deplină a sistemelor de justiție au un impact pozitiv asupra deciziilor de a investiți și asupra disponibilității tuturor actorilor de a lansa proiecte de investiții.</w:t>
      </w:r>
    </w:p>
    <w:p w14:paraId="64EB3E49"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Fonts w:ascii="Verdana" w:hAnsi="Verdana"/>
          <w:color w:val="404040"/>
          <w:sz w:val="18"/>
          <w:szCs w:val="18"/>
        </w:rPr>
        <w:t xml:space="preserve">În cadrul programului „Justiție” 2021-2027, UE pune la dispoziție peste 300 de milioane EUR pentru dezvoltarea unui spațiu european de justiție. Programul va contribui, de asemenea, la îmbunătățirea </w:t>
      </w:r>
      <w:r w:rsidRPr="000F7C7D">
        <w:rPr>
          <w:rFonts w:ascii="Verdana" w:hAnsi="Verdana"/>
          <w:color w:val="404040"/>
          <w:sz w:val="18"/>
          <w:szCs w:val="18"/>
        </w:rPr>
        <w:lastRenderedPageBreak/>
        <w:t>eficacității sistemelor naționale de justiție și la consolidarea statului de drept, a democrației și a protecției drepturilor fundamentale, inclusiv prin asigurarea accesului efectiv la justiție pentru cetățeni și întreprinderi. Programul finanțează activități care vizează formarea judecătorilor și a altor practicieni din domeniul dreptului, învățarea reciprocă, cooperarea judiciară și sensibilizarea.</w:t>
      </w:r>
    </w:p>
    <w:p w14:paraId="2FC1553B" w14:textId="77777777" w:rsidR="000F7C7D" w:rsidRPr="000F7C7D" w:rsidRDefault="000F7C7D" w:rsidP="000F7C7D">
      <w:pPr>
        <w:pStyle w:val="NormalWeb"/>
        <w:spacing w:before="120" w:beforeAutospacing="0" w:after="0" w:afterAutospacing="0"/>
        <w:rPr>
          <w:rFonts w:ascii="Verdana" w:hAnsi="Verdana"/>
          <w:color w:val="404040"/>
          <w:sz w:val="18"/>
          <w:szCs w:val="18"/>
        </w:rPr>
      </w:pPr>
      <w:r w:rsidRPr="000F7C7D">
        <w:rPr>
          <w:rStyle w:val="Strong"/>
          <w:color w:val="404040"/>
        </w:rPr>
        <w:t>Informații suplimentare</w:t>
      </w:r>
    </w:p>
    <w:p w14:paraId="26EF82B0" w14:textId="430FA062" w:rsidR="000F7C7D" w:rsidRPr="000F7C7D" w:rsidRDefault="000F7C7D" w:rsidP="000F7C7D">
      <w:pPr>
        <w:pStyle w:val="NormalWeb"/>
        <w:spacing w:before="120" w:beforeAutospacing="0" w:after="0" w:afterAutospacing="0"/>
        <w:rPr>
          <w:rFonts w:ascii="Verdana" w:hAnsi="Verdana"/>
          <w:color w:val="404040"/>
          <w:sz w:val="18"/>
          <w:szCs w:val="18"/>
        </w:rPr>
      </w:pPr>
      <w:hyperlink r:id="rId266" w:history="1">
        <w:r w:rsidRPr="000F7C7D">
          <w:rPr>
            <w:rStyle w:val="Hyperlink"/>
            <w:rFonts w:cs="Arial"/>
            <w:color w:val="004494"/>
          </w:rPr>
          <w:t>Ediția din 2022 a tabloului de bord privind justiția în Uniunea Europeană</w:t>
        </w:r>
      </w:hyperlink>
      <w:hyperlink r:id="rId267" w:history="1"/>
    </w:p>
    <w:p w14:paraId="4D757400" w14:textId="49889B81" w:rsidR="000F7C7D" w:rsidRPr="000F7C7D" w:rsidRDefault="000F7C7D" w:rsidP="000F7C7D">
      <w:pPr>
        <w:pStyle w:val="NormalWeb"/>
        <w:spacing w:before="120" w:beforeAutospacing="0" w:after="0" w:afterAutospacing="0"/>
        <w:rPr>
          <w:rFonts w:ascii="Verdana" w:hAnsi="Verdana"/>
          <w:color w:val="404040"/>
          <w:sz w:val="18"/>
          <w:szCs w:val="18"/>
        </w:rPr>
      </w:pPr>
      <w:hyperlink r:id="rId268" w:history="1">
        <w:r w:rsidRPr="000F7C7D">
          <w:rPr>
            <w:rStyle w:val="Hyperlink"/>
            <w:rFonts w:cs="Arial"/>
            <w:color w:val="004494"/>
          </w:rPr>
          <w:t>Ediția din 2022 a tabloului de bord privind justiția în Uniunea Europeană: fișă informativă</w:t>
        </w:r>
      </w:hyperlink>
      <w:hyperlink r:id="rId269" w:history="1"/>
    </w:p>
    <w:p w14:paraId="2DF00A94" w14:textId="18C27DC8" w:rsidR="000F7C7D" w:rsidRPr="000F7C7D" w:rsidRDefault="000F7C7D" w:rsidP="000F7C7D">
      <w:pPr>
        <w:pStyle w:val="NormalWeb"/>
        <w:spacing w:before="120" w:beforeAutospacing="0" w:after="0" w:afterAutospacing="0"/>
        <w:rPr>
          <w:rFonts w:ascii="Verdana" w:hAnsi="Verdana"/>
          <w:color w:val="404040"/>
          <w:sz w:val="18"/>
          <w:szCs w:val="18"/>
        </w:rPr>
      </w:pPr>
      <w:hyperlink r:id="rId270" w:history="1">
        <w:r w:rsidRPr="000F7C7D">
          <w:rPr>
            <w:rStyle w:val="Hyperlink"/>
            <w:rFonts w:cs="Arial"/>
            <w:color w:val="004494"/>
          </w:rPr>
          <w:t>Întrebări și răspunsuri</w:t>
        </w:r>
      </w:hyperlink>
      <w:hyperlink r:id="rId271" w:history="1"/>
    </w:p>
    <w:p w14:paraId="6CD29CCA" w14:textId="786013EE" w:rsidR="000F7C7D" w:rsidRPr="000F7C7D" w:rsidRDefault="000F7C7D" w:rsidP="000F7C7D">
      <w:pPr>
        <w:pStyle w:val="NormalWeb"/>
        <w:spacing w:before="120" w:beforeAutospacing="0" w:after="0" w:afterAutospacing="0"/>
        <w:rPr>
          <w:rFonts w:ascii="Verdana" w:hAnsi="Verdana"/>
          <w:color w:val="404040"/>
          <w:sz w:val="18"/>
          <w:szCs w:val="18"/>
        </w:rPr>
      </w:pPr>
      <w:hyperlink r:id="rId272" w:history="1">
        <w:r w:rsidRPr="000F7C7D">
          <w:rPr>
            <w:rStyle w:val="Hyperlink"/>
            <w:rFonts w:cs="Arial"/>
            <w:color w:val="004494"/>
          </w:rPr>
          <w:t>Eurobarometru Flash 503. Independența sistemelor judiciare naționale din UE în percepția publicului larg.</w:t>
        </w:r>
      </w:hyperlink>
      <w:hyperlink r:id="rId273" w:history="1"/>
    </w:p>
    <w:p w14:paraId="66D5E718" w14:textId="18E98D18" w:rsidR="000F7C7D" w:rsidRPr="000F7C7D" w:rsidRDefault="000F7C7D" w:rsidP="000F7C7D">
      <w:pPr>
        <w:pStyle w:val="NormalWeb"/>
        <w:spacing w:before="120" w:beforeAutospacing="0" w:after="0" w:afterAutospacing="0"/>
        <w:rPr>
          <w:rFonts w:ascii="Verdana" w:hAnsi="Verdana"/>
          <w:color w:val="404040"/>
          <w:sz w:val="18"/>
          <w:szCs w:val="18"/>
        </w:rPr>
      </w:pPr>
      <w:hyperlink r:id="rId274" w:history="1">
        <w:r w:rsidRPr="000F7C7D">
          <w:rPr>
            <w:rStyle w:val="Hyperlink"/>
            <w:rFonts w:cs="Arial"/>
            <w:color w:val="004494"/>
          </w:rPr>
          <w:t>Eurobarometru Flash 504. Independența sistemelor judiciare naționale din UE în percepția întreprinderilor.</w:t>
        </w:r>
      </w:hyperlink>
      <w:hyperlink r:id="rId275" w:history="1"/>
    </w:p>
    <w:p w14:paraId="370F6B58" w14:textId="7C43EC7E" w:rsidR="000F7C7D" w:rsidRPr="000F7C7D" w:rsidRDefault="000F7C7D" w:rsidP="000F7C7D">
      <w:pPr>
        <w:pStyle w:val="NormalWeb"/>
        <w:spacing w:before="120" w:beforeAutospacing="0" w:after="0" w:afterAutospacing="0"/>
        <w:rPr>
          <w:rFonts w:ascii="Verdana" w:hAnsi="Verdana"/>
          <w:color w:val="404040"/>
          <w:sz w:val="18"/>
          <w:szCs w:val="18"/>
        </w:rPr>
      </w:pPr>
      <w:hyperlink r:id="rId276" w:history="1">
        <w:r w:rsidRPr="000F7C7D">
          <w:rPr>
            <w:rStyle w:val="Hyperlink"/>
            <w:rFonts w:cs="Arial"/>
            <w:color w:val="004494"/>
          </w:rPr>
          <w:t>Ediția din 2021 a Raportului privind statul de drept</w:t>
        </w:r>
      </w:hyperlink>
      <w:hyperlink r:id="rId277" w:history="1"/>
    </w:p>
    <w:p w14:paraId="6595F0D3" w14:textId="52D6A078" w:rsidR="000F7C7D" w:rsidRPr="000F7C7D" w:rsidRDefault="000F7C7D" w:rsidP="000F7C7D">
      <w:pPr>
        <w:pStyle w:val="NormalWeb"/>
        <w:spacing w:before="120" w:beforeAutospacing="0" w:after="0" w:afterAutospacing="0"/>
        <w:rPr>
          <w:rFonts w:ascii="Verdana" w:hAnsi="Verdana"/>
          <w:color w:val="404040"/>
          <w:sz w:val="18"/>
          <w:szCs w:val="18"/>
        </w:rPr>
      </w:pPr>
      <w:hyperlink r:id="rId278" w:history="1">
        <w:r w:rsidRPr="000F7C7D">
          <w:rPr>
            <w:rStyle w:val="Hyperlink"/>
            <w:rFonts w:cs="Arial"/>
            <w:color w:val="004494"/>
          </w:rPr>
          <w:t>Fișă informativă privind setul de instrumente al UE pentru asigurarea respectării statului de drept</w:t>
        </w:r>
      </w:hyperlink>
      <w:hyperlink r:id="rId279" w:history="1"/>
    </w:p>
    <w:p w14:paraId="4444B109" w14:textId="0ED6F1C4" w:rsidR="000F7C7D" w:rsidRPr="000F7C7D" w:rsidRDefault="000F7C7D" w:rsidP="000F7C7D">
      <w:pPr>
        <w:pStyle w:val="NormalWeb"/>
        <w:spacing w:before="120" w:beforeAutospacing="0" w:after="0" w:afterAutospacing="0"/>
        <w:rPr>
          <w:rFonts w:ascii="Verdana" w:hAnsi="Verdana"/>
          <w:color w:val="404040"/>
          <w:sz w:val="18"/>
          <w:szCs w:val="18"/>
        </w:rPr>
      </w:pPr>
      <w:hyperlink r:id="rId280" w:history="1">
        <w:r w:rsidRPr="000F7C7D">
          <w:rPr>
            <w:rStyle w:val="Hyperlink"/>
            <w:rFonts w:cs="Arial"/>
            <w:color w:val="004494"/>
          </w:rPr>
          <w:t>Site-ul web dedicat tabloului de bord privind justiția în UE</w:t>
        </w:r>
      </w:hyperlink>
      <w:hyperlink r:id="rId281" w:history="1"/>
    </w:p>
    <w:p w14:paraId="304EDE56" w14:textId="77777777" w:rsidR="005C7E7A" w:rsidRPr="005C7E7A" w:rsidRDefault="005C7E7A" w:rsidP="005C7E7A">
      <w:pPr>
        <w:jc w:val="right"/>
        <w:rPr>
          <w:b/>
          <w:i/>
          <w:color w:val="0000FF"/>
          <w:sz w:val="14"/>
        </w:rPr>
      </w:pPr>
      <w:bookmarkStart w:id="176" w:name="_Hlk99968589"/>
      <w:r w:rsidRPr="005C7E7A">
        <w:rPr>
          <w:b/>
          <w:i/>
          <w:color w:val="0000FF"/>
          <w:sz w:val="14"/>
        </w:rPr>
        <w:t>Sursa: Reprezentanța în România a Comisiei Europene  https://romania.representation.ec.europa.eu/stiri-evenimente-si-resurse-pentru-presa/stiri_ro</w:t>
      </w:r>
    </w:p>
    <w:p w14:paraId="0C29B733" w14:textId="7180D51A" w:rsidR="00A87293" w:rsidRPr="00AA06A7" w:rsidRDefault="00A87293" w:rsidP="00A87293">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C3B6FB0" w14:textId="77777777" w:rsidR="00496A20" w:rsidRDefault="00496A20">
      <w:pPr>
        <w:spacing w:before="0"/>
        <w:rPr>
          <w:rFonts w:cs="Arial"/>
          <w:b/>
          <w:i/>
          <w:smallCaps/>
          <w:color w:val="CC0000"/>
          <w:sz w:val="20"/>
        </w:rPr>
      </w:pPr>
      <w:bookmarkStart w:id="177" w:name="_Hlk103591796"/>
      <w:r>
        <w:br w:type="page"/>
      </w:r>
    </w:p>
    <w:p w14:paraId="52515127" w14:textId="39ECCB2E" w:rsidR="00A87293" w:rsidRDefault="00730822" w:rsidP="00A87293">
      <w:pPr>
        <w:pStyle w:val="DinactualitateaEU"/>
      </w:pPr>
      <w:bookmarkStart w:id="178" w:name="_Toc104197304"/>
      <w:r>
        <w:lastRenderedPageBreak/>
        <w:t>Ucraina</w:t>
      </w:r>
      <w:bookmarkEnd w:id="178"/>
      <w:r w:rsidR="00A87293" w:rsidRPr="00A87293">
        <w:t xml:space="preserve"> </w:t>
      </w:r>
    </w:p>
    <w:p w14:paraId="262E8C8B" w14:textId="77777777" w:rsidR="009E18B2" w:rsidRPr="002665E5" w:rsidRDefault="009E18B2" w:rsidP="00D27A1C">
      <w:pPr>
        <w:pStyle w:val="TitluArticolinINFOUE"/>
        <w:rPr>
          <w:lang w:eastAsia="ro-RO"/>
        </w:rPr>
      </w:pPr>
      <w:bookmarkStart w:id="179" w:name="_Toc104197305"/>
      <w:r w:rsidRPr="002665E5">
        <w:t>Instrumentul de sprijin tehnic al Comisiei menit să ajute România și alte opt state membre să primească &amp; să sprijine persoanele care fug din calea războiului din Ucraina</w:t>
      </w:r>
      <w:bookmarkEnd w:id="179"/>
    </w:p>
    <w:p w14:paraId="62D27295" w14:textId="77777777" w:rsidR="009E18B2" w:rsidRPr="002665E5" w:rsidRDefault="009E18B2" w:rsidP="002665E5">
      <w:pPr>
        <w:pStyle w:val="ecl-page-header-standardiseddescription"/>
        <w:shd w:val="clear" w:color="auto" w:fill="FFFFFF"/>
        <w:spacing w:before="120" w:beforeAutospacing="0" w:after="0" w:afterAutospacing="0"/>
        <w:rPr>
          <w:rFonts w:ascii="Verdana" w:hAnsi="Verdana" w:cs="Arial"/>
          <w:color w:val="404040"/>
          <w:sz w:val="18"/>
          <w:szCs w:val="18"/>
        </w:rPr>
      </w:pPr>
      <w:r w:rsidRPr="002665E5">
        <w:rPr>
          <w:rFonts w:ascii="Verdana" w:hAnsi="Verdana" w:cs="Arial"/>
          <w:color w:val="404040"/>
          <w:sz w:val="18"/>
          <w:szCs w:val="18"/>
        </w:rPr>
        <w:t>Comisia va oferi expertiză tehnică pentru a ajuta nouă state membre să primească persoanele care fug din calea războiului din Ucraina.</w:t>
      </w:r>
    </w:p>
    <w:p w14:paraId="343D890F" w14:textId="2636275A" w:rsidR="009E18B2" w:rsidRPr="002665E5" w:rsidRDefault="009E18B2" w:rsidP="00D27A1C">
      <w:pPr>
        <w:rPr>
          <w:color w:val="404040"/>
          <w:szCs w:val="18"/>
        </w:rPr>
      </w:pPr>
      <w:r w:rsidRPr="002665E5">
        <w:rPr>
          <w:noProof/>
          <w:szCs w:val="18"/>
          <w:lang w:eastAsia="ro-RO"/>
        </w:rPr>
        <w:drawing>
          <wp:anchor distT="0" distB="0" distL="114300" distR="114300" simplePos="0" relativeHeight="252096512" behindDoc="0" locked="0" layoutInCell="1" allowOverlap="1" wp14:anchorId="2F6D0475" wp14:editId="331ACCF8">
            <wp:simplePos x="0" y="0"/>
            <wp:positionH relativeFrom="column">
              <wp:posOffset>2540</wp:posOffset>
            </wp:positionH>
            <wp:positionV relativeFrom="paragraph">
              <wp:posOffset>74295</wp:posOffset>
            </wp:positionV>
            <wp:extent cx="2324100" cy="1554872"/>
            <wp:effectExtent l="0" t="0" r="0" b="7620"/>
            <wp:wrapSquare wrapText="bothSides"/>
            <wp:docPr id="38" name="Picture 38" descr="TSI_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SI_RO"/>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2324100" cy="1554872"/>
                    </a:xfrm>
                    <a:prstGeom prst="rect">
                      <a:avLst/>
                    </a:prstGeom>
                    <a:noFill/>
                    <a:ln>
                      <a:noFill/>
                    </a:ln>
                  </pic:spPr>
                </pic:pic>
              </a:graphicData>
            </a:graphic>
          </wp:anchor>
        </w:drawing>
      </w:r>
      <w:r w:rsidRPr="002665E5">
        <w:rPr>
          <w:color w:val="404040"/>
          <w:szCs w:val="18"/>
        </w:rPr>
        <w:t>Statele membre care au depus cerere de sprijin o vor primi în lunile următoare. Acestea suntBelgia, Cipru, Cehia, Franța, Grecia, Italia, Polonia, </w:t>
      </w:r>
      <w:r w:rsidRPr="002665E5">
        <w:rPr>
          <w:rStyle w:val="Strong"/>
          <w:color w:val="404040"/>
        </w:rPr>
        <w:t>România </w:t>
      </w:r>
      <w:r w:rsidRPr="002665E5">
        <w:rPr>
          <w:color w:val="404040"/>
          <w:szCs w:val="18"/>
        </w:rPr>
        <w:t>și Slovacia.</w:t>
      </w:r>
    </w:p>
    <w:p w14:paraId="37BFCF01"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Comisara pentru coeziune și reforme, Elisa </w:t>
      </w:r>
      <w:r w:rsidRPr="002665E5">
        <w:rPr>
          <w:rStyle w:val="Strong"/>
          <w:color w:val="404040"/>
        </w:rPr>
        <w:t>Ferreira</w:t>
      </w:r>
      <w:r w:rsidRPr="002665E5">
        <w:rPr>
          <w:rFonts w:ascii="Verdana" w:hAnsi="Verdana"/>
          <w:color w:val="404040"/>
          <w:sz w:val="18"/>
          <w:szCs w:val="18"/>
        </w:rPr>
        <w:t>, a declarat: „</w:t>
      </w:r>
      <w:r w:rsidRPr="002665E5">
        <w:rPr>
          <w:rStyle w:val="Emphasis"/>
          <w:color w:val="404040"/>
        </w:rPr>
        <w:t>Invadarea Ucrainei de cătreRusia a declanșat o criză umanitară fără precedent. Avem datoria să îi ajutăm pe cei care fug din calea războiului și caută siguranță în UE. Aceasta înseamnă acces la locuințe, educație, asistență medicală și locuri de muncă. Prin intermediul instrumentului de sprijin tehnic, Comisia Europeană sprijină statele membre să ofere acest ajutor fără probleme și rapid</w:t>
      </w:r>
      <w:r w:rsidRPr="002665E5">
        <w:rPr>
          <w:rFonts w:ascii="Verdana" w:hAnsi="Verdana"/>
          <w:color w:val="404040"/>
          <w:sz w:val="18"/>
          <w:szCs w:val="18"/>
        </w:rPr>
        <w:t>”.</w:t>
      </w:r>
    </w:p>
    <w:p w14:paraId="547528F0" w14:textId="2DF32843"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Expertiza tehnică se furnizează în cadrul </w:t>
      </w:r>
      <w:hyperlink r:id="rId283" w:history="1">
        <w:r w:rsidRPr="002665E5">
          <w:rPr>
            <w:rStyle w:val="Hyperlink"/>
            <w:rFonts w:cs="Arial"/>
            <w:color w:val="004494"/>
          </w:rPr>
          <w:t>instrumentului de sprijin tehnic</w:t>
        </w:r>
      </w:hyperlink>
      <w:hyperlink r:id="rId284" w:history="1"/>
      <w:r w:rsidRPr="002665E5">
        <w:rPr>
          <w:rFonts w:ascii="Verdana" w:hAnsi="Verdana"/>
          <w:color w:val="404040"/>
          <w:sz w:val="18"/>
          <w:szCs w:val="18"/>
        </w:rPr>
        <w:t> (IST), gestionat de Comisie. Acesta va sprijini statele membre în ceea ce privește: absorbția fondurilor UE în scopuri de primire și integrare, punerea în aplicare a </w:t>
      </w:r>
      <w:hyperlink r:id="rId285" w:history="1">
        <w:r w:rsidRPr="002665E5">
          <w:rPr>
            <w:rStyle w:val="Hyperlink"/>
            <w:rFonts w:cs="Arial"/>
            <w:color w:val="004494"/>
          </w:rPr>
          <w:t>Directivei privind protecția temporară</w:t>
        </w:r>
      </w:hyperlink>
      <w:hyperlink r:id="rId286" w:history="1"/>
      <w:r w:rsidRPr="002665E5">
        <w:rPr>
          <w:rFonts w:ascii="Verdana" w:hAnsi="Verdana"/>
          <w:color w:val="404040"/>
          <w:sz w:val="18"/>
          <w:szCs w:val="18"/>
        </w:rPr>
        <w:t>, facilitarea recunoașterii calificărilor și diplomelor refugiaților ucraineni pentru a ușura intrarea acestora pe piața muncii din UE, adaptarea programei școlare la nevoile elevilor ucraineni, precum și  în ceea ce privește îmbunătățirea coordonării interministeriale.</w:t>
      </w:r>
    </w:p>
    <w:p w14:paraId="2DB05548" w14:textId="645C4B0F"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La 21 martie 2022, în urma invadării Ucrainei de către Rusia, Comisia a </w:t>
      </w:r>
      <w:hyperlink r:id="rId287" w:history="1">
        <w:r w:rsidRPr="002665E5">
          <w:rPr>
            <w:rStyle w:val="Hyperlink"/>
            <w:rFonts w:cs="Arial"/>
            <w:color w:val="004494"/>
          </w:rPr>
          <w:t>lansat un apel specific, </w:t>
        </w:r>
      </w:hyperlink>
      <w:hyperlink r:id="rId288" w:history="1"/>
      <w:r w:rsidRPr="002665E5">
        <w:rPr>
          <w:rFonts w:ascii="Verdana" w:hAnsi="Verdana"/>
          <w:color w:val="404040"/>
          <w:sz w:val="18"/>
          <w:szCs w:val="18"/>
        </w:rPr>
        <w:t>pentru a sprijini statele membre care primesc refugiați din Ucraina și care elimină treptat dependența lor de combustibilii fosili din Rusia. Cererile prezentate de statele membre au fost evaluate și aprobate de Comisie. Prin intermediul IST 2022, Comisia sprijină deja Croația, Danemarca, Finlanda, Grecia, Italia, Țările de Jos și Portugalia în cadrul </w:t>
      </w:r>
      <w:hyperlink r:id="rId289" w:history="1">
        <w:r w:rsidRPr="002665E5">
          <w:rPr>
            <w:rStyle w:val="Hyperlink"/>
            <w:rFonts w:cs="Arial"/>
            <w:color w:val="004494"/>
          </w:rPr>
          <w:t>proiectelor emblematice de sprijin</w:t>
        </w:r>
      </w:hyperlink>
      <w:r w:rsidRPr="002665E5">
        <w:rPr>
          <w:rFonts w:ascii="Verdana" w:hAnsi="Verdana"/>
          <w:color w:val="404040"/>
          <w:sz w:val="18"/>
          <w:szCs w:val="18"/>
        </w:rPr>
        <w:t> „Integrarea resortisanților țărilor terțe în statele membre ale UE”.</w:t>
      </w:r>
    </w:p>
    <w:p w14:paraId="60C479AE"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Aceste proiecte îmbunătățesc capacitatea administrațiilor naționale de a furniza servicii de integrare favorabile incluziunii și eficace, de a contribui la păstrarea talentelor și de a facilita accesul resortisanților țărilor terțe pe piața forței de muncă. Sprijinul prin intermediul IST completează activitatea agențiilor UE, în special a Agenției Europene pentru Azil (EUAA) care este activă în Malta, Italia, Grecia, Spania, Cipru, România, Belgia, Letonia și Lituania, iar în curând va fi și în Cehia și Țările de Jos.</w:t>
      </w:r>
    </w:p>
    <w:p w14:paraId="0C333A73" w14:textId="0C9C76AD" w:rsidR="009E18B2" w:rsidRPr="002665E5" w:rsidRDefault="009E18B2" w:rsidP="00D27A1C">
      <w:pPr>
        <w:pStyle w:val="separatorarticole"/>
      </w:pPr>
      <w:r w:rsidRPr="002665E5">
        <w:t>*</w:t>
      </w:r>
    </w:p>
    <w:p w14:paraId="1A7A593E" w14:textId="77777777" w:rsidR="009E18B2" w:rsidRPr="002665E5" w:rsidRDefault="009E18B2" w:rsidP="00D27A1C">
      <w:pPr>
        <w:pStyle w:val="TitluArticolinINFOUE"/>
        <w:rPr>
          <w:lang w:eastAsia="ro-RO"/>
        </w:rPr>
      </w:pPr>
      <w:bookmarkStart w:id="180" w:name="_Toc104197306"/>
      <w:r w:rsidRPr="002665E5">
        <w:t>Ucraina: Comisia prezintă planuri pentru un răspuns imediat al Uniunii care să abordeze nevoile de finanțare ale Ucrainei și reconstrucția sa pe termen mai lung</w:t>
      </w:r>
      <w:bookmarkEnd w:id="180"/>
    </w:p>
    <w:p w14:paraId="62BE5A1E" w14:textId="77777777" w:rsidR="009E18B2" w:rsidRPr="002665E5" w:rsidRDefault="009E18B2" w:rsidP="002665E5">
      <w:pPr>
        <w:pStyle w:val="ecl-page-header-standardiseddescription"/>
        <w:shd w:val="clear" w:color="auto" w:fill="FFFFFF"/>
        <w:spacing w:before="120" w:beforeAutospacing="0" w:after="0" w:afterAutospacing="0"/>
        <w:rPr>
          <w:rFonts w:ascii="Verdana" w:hAnsi="Verdana" w:cs="Arial"/>
          <w:color w:val="404040"/>
          <w:sz w:val="18"/>
          <w:szCs w:val="18"/>
        </w:rPr>
      </w:pPr>
      <w:r w:rsidRPr="002665E5">
        <w:rPr>
          <w:rFonts w:ascii="Verdana" w:hAnsi="Verdana" w:cs="Arial"/>
          <w:color w:val="404040"/>
          <w:sz w:val="18"/>
          <w:szCs w:val="18"/>
        </w:rPr>
        <w:t>Comisia a stabilit astăzi, 18 mai, într-o comunicare, planuri pentru un răspuns imediat al UE care să abordeze nevoile de finanțare ale Ucrainei și cadrul de reconstrucție a acesteia pe termen mai lung. </w:t>
      </w:r>
    </w:p>
    <w:p w14:paraId="39AC037D" w14:textId="47A90512" w:rsidR="009E18B2" w:rsidRPr="002665E5" w:rsidRDefault="009E18B2" w:rsidP="00D27A1C">
      <w:pPr>
        <w:rPr>
          <w:color w:val="404040"/>
          <w:szCs w:val="18"/>
        </w:rPr>
      </w:pPr>
      <w:r w:rsidRPr="002665E5">
        <w:rPr>
          <w:noProof/>
          <w:szCs w:val="18"/>
          <w:lang w:eastAsia="ro-RO"/>
        </w:rPr>
        <w:drawing>
          <wp:anchor distT="0" distB="0" distL="114300" distR="114300" simplePos="0" relativeHeight="252097536" behindDoc="0" locked="0" layoutInCell="1" allowOverlap="1" wp14:anchorId="148E4826" wp14:editId="6D1E8A35">
            <wp:simplePos x="0" y="0"/>
            <wp:positionH relativeFrom="column">
              <wp:posOffset>2540</wp:posOffset>
            </wp:positionH>
            <wp:positionV relativeFrom="paragraph">
              <wp:posOffset>80645</wp:posOffset>
            </wp:positionV>
            <wp:extent cx="2257425" cy="1510265"/>
            <wp:effectExtent l="0" t="0" r="0" b="0"/>
            <wp:wrapSquare wrapText="bothSides"/>
            <wp:docPr id="41" name="Picture 41" descr="Reconstructio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constructionUA"/>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2257425" cy="1510265"/>
                    </a:xfrm>
                    <a:prstGeom prst="rect">
                      <a:avLst/>
                    </a:prstGeom>
                    <a:noFill/>
                    <a:ln>
                      <a:noFill/>
                    </a:ln>
                  </pic:spPr>
                </pic:pic>
              </a:graphicData>
            </a:graphic>
          </wp:anchor>
        </w:drawing>
      </w:r>
      <w:r w:rsidRPr="002665E5">
        <w:rPr>
          <w:color w:val="404040"/>
          <w:szCs w:val="18"/>
        </w:rPr>
        <w:t>Această comunicare este urmarea apelului lansat de Consiliul European de a aborda consecințele războiului din Ucraina prin intermediul unui efort specific impulsionat de Europa.</w:t>
      </w:r>
    </w:p>
    <w:p w14:paraId="170E9DDE"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Style w:val="Strong"/>
          <w:color w:val="404040"/>
        </w:rPr>
        <w:t>Răspunsul imediat și nevoile pe termen scurt</w:t>
      </w:r>
    </w:p>
    <w:p w14:paraId="26CAFDC1"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 xml:space="preserve">De la începutul agresiunii ruse, UE și-a intensificat considerabil sprijinul, mobilizând aproximativ 4,1 miliarde EUR, sub formă de asistență macrofinanciară de urgență, sprijin bugetar, asistență de urgență, răspuns în situații de criză și ajutor umanitar, pentru a susține consolidarea rezilienței generale economice, sociale și financiare a Ucrainei. Au fost prevăzute, de asemenea, măsuri de asistență militară în cadrul Instrumentului european pentru pace, în valoare de </w:t>
      </w:r>
      <w:r w:rsidRPr="002665E5">
        <w:rPr>
          <w:rFonts w:ascii="Verdana" w:hAnsi="Verdana"/>
          <w:color w:val="404040"/>
          <w:sz w:val="18"/>
          <w:szCs w:val="18"/>
        </w:rPr>
        <w:lastRenderedPageBreak/>
        <w:t>1,5 miliarde EUR, bani care vor fi utilizați pentru a le rambursa statelor membre ajutorul militar în natură oferit Ucrainei și este în curs de mobilizare o sumă suplimentară de 500 de milioane EUR.</w:t>
      </w:r>
    </w:p>
    <w:p w14:paraId="5475A01E"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Războiul a condus la prăbușirea veniturilor fiscale, a celor obținute din exporturi și a altor venituri, care a fost agravată de confiscarea ilegală, pe scară largă, a unor active și a unor produse pentru export, inclusiv în sectorul agricol, în timp ce cheltuielile esențiale au crescut vertiginos. Fondul Monetar Internațional a estimat că decalajul din balanța de plăți a Ucrainei se va ridica la aproximativ 14,3 miliarde EUR (15 miliarde USD) până în luna iunie.</w:t>
      </w:r>
    </w:p>
    <w:p w14:paraId="3F8C71EB"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Pentru a-i putea acorda Ucrainei un sprijin financiar semnificativ pe termen scurt în scopul menținerii serviciilor de bază, al abordării nevoilor umanitare și al reparării infrastructurii celei mai vitale, distruse de război, va fi nevoie de un efort comun la nivel internațional, în cadrul căruia Uniunea va fi pregătită să își joace rolul.</w:t>
      </w:r>
    </w:p>
    <w:p w14:paraId="09FB281B"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Prin urmare, Comisia intenționează să propună acordarea unei asistențe macrofinanciare suplimentare Ucrainei în 2022, sub formă de împrumuturi de până la aproximativ 9 miliarde EUR, care ar urma să fie completată cu contribuții din partea altor parteneri bilaterali și multilaterali de la nivel internațional, inclusiv a țărilor din grupul G7. Plățile se vor face în tranșe cu scadențe lungi și cu rate avantajoase ale dobânzilor, datorită garanției de la bugetul Uniunii. Acest lucru va fi posibil doar dacă statele membre acceptă să pună la dispoziție garanții suplimentare. Corelată cu granturile acordate de la bugetul UE pentru subvenționarea plăților aferente ale dobânzilor, această asistență macrofinanciară suplimentară îi va permite Ucrainei să beneficieze de un sprijin bine coordonat și deosebit de avantajos.</w:t>
      </w:r>
    </w:p>
    <w:p w14:paraId="033E3E39"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Style w:val="Strong"/>
          <w:color w:val="404040"/>
        </w:rPr>
        <w:t>Reconstrucția Ucrainei</w:t>
      </w:r>
    </w:p>
    <w:p w14:paraId="05E5BCD8"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Va fi necesar un efort financiar major la nivel mondial pentru a reconstrui țara în urma daunelor cauzate de război, pentru a pune bazele unei națiuni libere și prospere, ancorate în valorile europene, bine integrată în economia europeană și mondială și pentru a o sprijini de-a lungul parcursului său european. Câtă vreme agresiunea Rusiei continuă, nu se știe încă precis care este valoarea totală a nevoilor de reconstrucție ale Ucrainei. Cu toate acestea, este important să fie concepute încă de pe acum principalele elemente constitutive ale acestui efort internațional. Sprijinul va trebui să acordat pe termen mediu spre lung.</w:t>
      </w:r>
    </w:p>
    <w:p w14:paraId="598A5D6C"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Efortul de reconstrucție ar trebui să fie condus de autoritățile ucrainene în strânsă colaborare cu Uniunea Europeană și cu alți parteneri esențiali, precum cei din grupurile G7 și G20 și alte țări terțe, dar și cu instituțiile financiare internaționale și cu organizațiile internaționale. Parteneriatele dintre orașele și regiunile din Uniunea Europeană și cele din Ucraina vor îmbogăți și vor accelera reconstrucția.</w:t>
      </w:r>
    </w:p>
    <w:p w14:paraId="2C2ED67D"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O platformă de coordonare internațională („platforma pentru reconstrucția Ucrainei”), gestionată în comun de Comisie, reprezentând Uniunea Europeană, și de guvernul Ucrainei, ar funcționa ca un organism supraierarhic de guvernanță strategică, responsabil cu aprobarea unui plan de reconstrucție elaborat și pus în aplicare de Ucraina, căreia UE îi va furniza sprijin sub formă de capacități administrative și de asistență tehnică. Această platformă ar reuni partenerii și organizațiile de sprijin, printre care statele membre ale UE, alți parteneri bilaterali și multilaterali și instituții financiare internaționale. Parlamentul Ucrainei și Parlamentul European ar urma să participe în calitate de observatori</w:t>
      </w:r>
    </w:p>
    <w:p w14:paraId="1BE730EF"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Style w:val="Strong"/>
          <w:color w:val="404040"/>
        </w:rPr>
        <w:t>Planul de reconstrucție „RebuildUkraine”</w:t>
      </w:r>
      <w:r w:rsidRPr="002665E5">
        <w:rPr>
          <w:rFonts w:ascii="Verdana" w:hAnsi="Verdana"/>
          <w:color w:val="404040"/>
          <w:sz w:val="18"/>
          <w:szCs w:val="18"/>
        </w:rPr>
        <w:t> aprobat de platformă, bazat pe o evaluare a nevoilor, ar constitui baza în raport cu care Uniunea Europeană și ceilalți parteneri vor stabili sectoarele prioritare selectate pentru finanțare și proiectele specifice. Platforma ar urma să coordoneze resursele de finanțare și destinația acestora pentru a le optimiza utilizarea și va monitoriza progresele înregistrate în ceea ce privește punerea în aplicare a planului.</w:t>
      </w:r>
    </w:p>
    <w:p w14:paraId="0F4D0B28"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Pentru a susține planul de reconstrucție, Comisia propune instituirea Mecanismului „RebuildUkraine” ca principal instrument juridic pentru acordarea sprijinului din partea Uniunii Europene, prin intermediul unei combinații de granturi și împrumuturi. Această inițiativă ar urma să fie integrată în bugetul UE, ceea ce îi va garanta transparența, răspunderea și buna gestiune financiară, cu o legătură clară către investiții și reforme. Ea s-ar baza pe experiența dobândită de UE în contextul aplicării Mecanismului de redresare și reziliență, însă ar fi adaptată la provocările fără precedent legate de reconstrucția Ucrainei și de însoțirea acesteia de-a lungul parcursului său european. Mecanismul în sine ar urma să aibă o structură de guvernanță specifică, care i-ar permite Ucrainei să devină parte cu drepturi depline.</w:t>
      </w:r>
    </w:p>
    <w:p w14:paraId="19B1B834"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lastRenderedPageBreak/>
        <w:t>Se va pune un accent deosebit pe reformele privind statul de drept și lupta anticorupție, în timp ce investițiile, realizate în conformitate cu politicile și standardele climatice, de mediu și digitale ale UE, vor ajuta Ucraina să renască mai puternică și mai rezilientă în urma dezastrului produs de invazia rusă.</w:t>
      </w:r>
    </w:p>
    <w:p w14:paraId="51F45EFB"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Nevoile neprevăzute create de război în Europa depășesc cu mult mijloacele disponibile în actualul cadru financiar multianual. Prin urmare, vor trebui găsite noi surse de finanțare.</w:t>
      </w:r>
    </w:p>
    <w:p w14:paraId="26ECB6F3"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Structura propusă este suficient de flexibilă pentru a integra aceste noi surse de finanțare. Granturile suplimentare care urmează să fie puse la dispoziția Ucrainei ar putea să fie finanțate prin contribuții suplimentare din partea statelor membre (și a țărilor terțe care doresc să participe) la mecanism și la programele existente ale Uniunii, valorificând astfel mecanismele financiare ale Uniunii și garanțiile sale privind utilizarea corectă a fondurilor, sau printr-o revizuire specifică a cadrului financiar multianual. Din aceste surse s-ar putea finanța, de asemenea, împrumuturile care urmează să-i fie acordate Ucrainei în cadrul mecanismului. Cu toate acestea, dată fiind amploarea împrumuturilor care ar putea fi necesare, opțiunile includ strângerea de fonduri pentru împrumuturi în numele UE sau cu garanții naționale din partea statelor membre.</w:t>
      </w:r>
    </w:p>
    <w:p w14:paraId="6233541A"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Style w:val="Strong"/>
          <w:color w:val="404040"/>
        </w:rPr>
        <w:t>Declarațiile membrilor colegiului</w:t>
      </w:r>
      <w:r w:rsidRPr="002665E5">
        <w:rPr>
          <w:rFonts w:ascii="Verdana" w:hAnsi="Verdana"/>
          <w:color w:val="404040"/>
          <w:sz w:val="18"/>
          <w:szCs w:val="18"/>
        </w:rPr>
        <w:t>:</w:t>
      </w:r>
    </w:p>
    <w:p w14:paraId="662E62C1"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Președinta Comisiei Europene, Ursula </w:t>
      </w:r>
      <w:r w:rsidRPr="002665E5">
        <w:rPr>
          <w:rStyle w:val="Strong"/>
          <w:color w:val="404040"/>
        </w:rPr>
        <w:t>von der Leyen</w:t>
      </w:r>
      <w:r w:rsidRPr="002665E5">
        <w:rPr>
          <w:rFonts w:ascii="Verdana" w:hAnsi="Verdana"/>
          <w:color w:val="404040"/>
          <w:sz w:val="18"/>
          <w:szCs w:val="18"/>
        </w:rPr>
        <w:t>, a declarat: „</w:t>
      </w:r>
      <w:r w:rsidRPr="002665E5">
        <w:rPr>
          <w:rStyle w:val="Emphasis"/>
          <w:color w:val="404040"/>
        </w:rPr>
        <w:t>Invadarea neprovocată și nejustificată a Ucrainei de către Rusia a cauzat suferințe umane îngrozitoare și distrugeri masive în întreaga țară, obligând milioane de ucraineni nevinovați să își părăsească locuințele. Ucraina poate conta pe ajutorul deplin al UE. UE va continua să îi furnizeze Ucrainei sprijin financiar pe termen scurt, pentru răspunde nevoilor acesteia și pentru a-i permite să mențină funcționarea serviciilor de bază. De asemenea, suntem pregătiți să ne asumăm un rol de lider în cadrul eforturilor internaționale de reconstrucție, pentru a contribui la reclădirea unei Ucraine democratice și prospere. Aceasta înseamnă că investițiile vor fi corelate cu reforme care vor sprijini Ucraina în urmărirea parcursului său european.”</w:t>
      </w:r>
    </w:p>
    <w:p w14:paraId="1C8F62E1"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Valdis </w:t>
      </w:r>
      <w:r w:rsidRPr="002665E5">
        <w:rPr>
          <w:rStyle w:val="Strong"/>
          <w:color w:val="404040"/>
        </w:rPr>
        <w:t>Dombrovskis</w:t>
      </w:r>
      <w:r w:rsidRPr="002665E5">
        <w:rPr>
          <w:rFonts w:ascii="Verdana" w:hAnsi="Verdana"/>
          <w:color w:val="404040"/>
          <w:sz w:val="18"/>
          <w:szCs w:val="18"/>
        </w:rPr>
        <w:t>, vicepreședinte executiv pentru o economie în serviciul cetățenilor, a declarat: „</w:t>
      </w:r>
      <w:r w:rsidRPr="002665E5">
        <w:rPr>
          <w:rStyle w:val="Emphasis"/>
          <w:color w:val="404040"/>
        </w:rPr>
        <w:t>Sprijinul acordat de UE Ucrainei este fără echivoc. Vom continua să utilizăm toate mijloacele de care dispunem pentru a ajuta țara prietenă și vecină să reziste agresiunii neprovocate și brutale din partea Rusiei. Este necesar să permitem continuarea funcționării cotidiene a țării și totodată să depunem eforturi pentru a o reconstrui Pentru a răspunde nevoilor celor mai urgente ale Ucrainei, intenționăm să oferim împrumuturi de urgență în cadrul unui nou program de asistență macrofinanciară. Pe termen mai lung, UE va prelua conducerea unui efort financiar major la nivel internațional pentru a reconstrui o Ucraină liberă și democratică, în colaborare cu parteneri precum țările din grupul G7 și instituțiile financiare internaționale și în strânsă coordonare cu Ucraina însăși. Vom fi alături de Ucraina în fiecare etapă a acestui parcurs, pentru a repara distrugerile cauzate de războiul purtat de Rusia și pentru a crea un viitor mai luminos și noi oportunități pentru cetățenii săi.”</w:t>
      </w:r>
    </w:p>
    <w:p w14:paraId="43D10045"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Josep </w:t>
      </w:r>
      <w:r w:rsidRPr="002665E5">
        <w:rPr>
          <w:rStyle w:val="Strong"/>
          <w:color w:val="404040"/>
        </w:rPr>
        <w:t>Borrell</w:t>
      </w:r>
      <w:r w:rsidRPr="002665E5">
        <w:rPr>
          <w:rFonts w:ascii="Verdana" w:hAnsi="Verdana"/>
          <w:color w:val="404040"/>
          <w:sz w:val="18"/>
          <w:szCs w:val="18"/>
        </w:rPr>
        <w:t>, Înaltul Reprezentant / vicepreședintele pentru o Europă mai puternică pe plan internațional, a declarat: </w:t>
      </w:r>
      <w:r w:rsidRPr="002665E5">
        <w:rPr>
          <w:rStyle w:val="Emphasis"/>
          <w:color w:val="404040"/>
        </w:rPr>
        <w:t>„UE își va menține cu fermitate solidaritatea cu Ucraina și sprijinul acordat acestei țări, care duce o luptă de apărare împotriva războiului de agresiune ilegal și imposibil de justificat declanșat de Rusia. Vom continua să oferim Ucrainei măsuri de asistență militară</w:t>
      </w:r>
      <w:r w:rsidRPr="002665E5">
        <w:rPr>
          <w:rFonts w:ascii="Verdana" w:hAnsi="Verdana"/>
          <w:color w:val="404040"/>
          <w:sz w:val="18"/>
          <w:szCs w:val="18"/>
        </w:rPr>
        <w:t>.”</w:t>
      </w:r>
    </w:p>
    <w:p w14:paraId="44042930"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Comisarul pentru buget și administrație, Johannes </w:t>
      </w:r>
      <w:r w:rsidRPr="002665E5">
        <w:rPr>
          <w:rStyle w:val="Strong"/>
          <w:color w:val="404040"/>
        </w:rPr>
        <w:t>Hahn</w:t>
      </w:r>
      <w:r w:rsidRPr="002665E5">
        <w:rPr>
          <w:rFonts w:ascii="Verdana" w:hAnsi="Verdana"/>
          <w:color w:val="404040"/>
          <w:sz w:val="18"/>
          <w:szCs w:val="18"/>
        </w:rPr>
        <w:t>, a declarat: „</w:t>
      </w:r>
      <w:r w:rsidRPr="002665E5">
        <w:rPr>
          <w:rStyle w:val="Emphasis"/>
          <w:color w:val="404040"/>
        </w:rPr>
        <w:t>Uniunea Europeană va rămâne alături de Ucraina și de poporul său și va continua să joace un rol esențial în cadrul tuturor eforturilor politice, umanitare, de reziliență și economice menite să răspundă nevoilor sale pe termen scurt sau lung, pentru a readuce în Ucraina pacea și condiții de redresare socio-economică. Sunt convins că noua «platformă pentru reconstrucția Ucrainei», gestionată în comun de Ucraina și de Comisie, precum și Mecanismul «RebuildUkraine» pe care l-am propus vor oferi Ucrainei un viitor mai bun. Acest lucru se va face în strânsă coordonare cu toți donatorii</w:t>
      </w:r>
      <w:r w:rsidRPr="002665E5">
        <w:rPr>
          <w:rFonts w:ascii="Verdana" w:hAnsi="Verdana"/>
          <w:color w:val="404040"/>
          <w:sz w:val="18"/>
          <w:szCs w:val="18"/>
        </w:rPr>
        <w:t>”.</w:t>
      </w:r>
    </w:p>
    <w:p w14:paraId="6EACF345"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Comisarul pentru economie, Paolo </w:t>
      </w:r>
      <w:r w:rsidRPr="002665E5">
        <w:rPr>
          <w:rStyle w:val="Strong"/>
          <w:color w:val="404040"/>
        </w:rPr>
        <w:t>Gentiloni</w:t>
      </w:r>
      <w:r w:rsidRPr="002665E5">
        <w:rPr>
          <w:rFonts w:ascii="Verdana" w:hAnsi="Verdana"/>
          <w:color w:val="404040"/>
          <w:sz w:val="18"/>
          <w:szCs w:val="18"/>
        </w:rPr>
        <w:t>, a declarat: „</w:t>
      </w:r>
      <w:r w:rsidRPr="002665E5">
        <w:rPr>
          <w:rStyle w:val="Emphasis"/>
          <w:color w:val="404040"/>
        </w:rPr>
        <w:t>Distrugerile provocate de Rusia în Ucraina sunt fără precedent în Europa postbelică, așa cum este și disprețul său față de ordinea internațională construită cu atâtea eforturi în ultimele decenii. Astăzi, Comisia Europeană propune o cale care să contribuie la renașterea unei noi Ucraine din cenușa războiului, așa cum și Uniunea s-a născut din ruinele anului 1945. Împreună cu autoritățile ucrainene și în cooperare partenerii noștri internaționali, vom mobiliza finanțarea de care are nevoie Ucraina pentru a supraviețui acestui cataclism și pentru a-și reconstrui mai temeinic infrastructura economică și socială.”</w:t>
      </w:r>
    </w:p>
    <w:p w14:paraId="7BFDA04A"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lastRenderedPageBreak/>
        <w:t>Comisarul pentru vecinătate și extindere, Olivér </w:t>
      </w:r>
      <w:r w:rsidRPr="002665E5">
        <w:rPr>
          <w:rStyle w:val="Strong"/>
          <w:color w:val="404040"/>
        </w:rPr>
        <w:t>Várhelyi</w:t>
      </w:r>
      <w:r w:rsidRPr="002665E5">
        <w:rPr>
          <w:rFonts w:ascii="Verdana" w:hAnsi="Verdana"/>
          <w:color w:val="404040"/>
          <w:sz w:val="18"/>
          <w:szCs w:val="18"/>
        </w:rPr>
        <w:t>, a declarat: „</w:t>
      </w:r>
      <w:r w:rsidRPr="002665E5">
        <w:rPr>
          <w:rStyle w:val="Emphasis"/>
          <w:color w:val="404040"/>
        </w:rPr>
        <w:t>În ultimele săptămâni am fost martorii îngrozitoarelor pierderi de vieți omenești și al distrugerilor cauzate de acest război infrastructurii din Ucraina. Am mobilizat rapid asistența și ne-am angajat să sprijinim reconstrucția Ucrainei. Reconstrucția ar trebui să reflecte pe deplin nevoile identificate de Ucraina și să fie ferm ancorată în programul de reforme al țării</w:t>
      </w:r>
      <w:r w:rsidRPr="002665E5">
        <w:rPr>
          <w:rFonts w:ascii="Verdana" w:hAnsi="Verdana"/>
          <w:color w:val="404040"/>
          <w:sz w:val="18"/>
          <w:szCs w:val="18"/>
        </w:rPr>
        <w:t>”.</w:t>
      </w:r>
    </w:p>
    <w:p w14:paraId="4BFB2B65"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Style w:val="Strong"/>
          <w:color w:val="404040"/>
        </w:rPr>
        <w:t>Context</w:t>
      </w:r>
    </w:p>
    <w:p w14:paraId="7DBCACE9"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Angajamentul UE de a sprijini Ucraina este de lungă durată și a dat deja rezultate. UE a furnizat Ucrainei un sprijin financiar semnificativ, sub forma unor granturi în valoare de 1,7 miliarde EUR în perioada 2014-2021, acordate în cadrul Instrumentului european de vecinătate, a unor împrumuturi în valoare de 5,6 miliarde EUR, acordate în cadrul a cinci programe de asistență macrofinanciară, și a unui ajutor umanitar în valoare de 194 de milioane EUR, plus 355 milioane EUR din instrumentele de politică externă. UE îi furnizează Ucrainei sprijin pentru elaborarea de politici și pentru realizarea de reforme cuprinzătoare, cu implicarea puternică a statelor membre în cadrul unei abordări a „Echipei Europa”. Printre programele emblematice se numără cele privind descentralizarea, reforma administrației publice și lupta anticorupție.</w:t>
      </w:r>
    </w:p>
    <w:p w14:paraId="4A426413"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Înaintea și în timpul războiului, UE a colaborat îndeaproape cu instituțiile financiare europene pentru a sprijini Ucraina. Începând din 2014, Banca Europeană de Investiții și Banca Europeană pentru Reconstrucție și Dezvoltare au mobilizat împrumuturi de peste 10 miliarde EUR pentru Ucraina. În ultimele săptămâni, Banca Europeană de Investiții a plătit 668 de milioane EUR pentru a susține bugetul Ucrainei. De asemenea, UE acționează în strânsă cooperare cu Banca Mondială și cu Fondul Monetar Internațional, care au fost parteneri-cheie în eforturile realizate de Ucraina încă din 2014.</w:t>
      </w:r>
    </w:p>
    <w:p w14:paraId="70060970" w14:textId="77777777"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Style w:val="Strong"/>
          <w:color w:val="404040"/>
        </w:rPr>
        <w:t>Pentru informații suplimentare</w:t>
      </w:r>
    </w:p>
    <w:p w14:paraId="32A4F40A" w14:textId="3D84D753" w:rsidR="009E18B2" w:rsidRPr="002665E5" w:rsidRDefault="00A53D90" w:rsidP="002665E5">
      <w:pPr>
        <w:pStyle w:val="NormalWeb"/>
        <w:spacing w:before="120" w:beforeAutospacing="0" w:after="0" w:afterAutospacing="0"/>
        <w:rPr>
          <w:rFonts w:ascii="Verdana" w:hAnsi="Verdana"/>
          <w:color w:val="404040"/>
          <w:sz w:val="18"/>
          <w:szCs w:val="18"/>
        </w:rPr>
      </w:pPr>
      <w:hyperlink r:id="rId291" w:history="1">
        <w:r w:rsidR="009E18B2" w:rsidRPr="002665E5">
          <w:rPr>
            <w:rStyle w:val="Hyperlink"/>
            <w:rFonts w:cs="Arial"/>
            <w:color w:val="004494"/>
          </w:rPr>
          <w:t>Comunicare: Sprijinirea și reconstruirea Ucrainei</w:t>
        </w:r>
      </w:hyperlink>
    </w:p>
    <w:p w14:paraId="7D330244" w14:textId="1BDB0CC0" w:rsidR="009E18B2" w:rsidRPr="002665E5" w:rsidRDefault="00A53D90" w:rsidP="002665E5">
      <w:pPr>
        <w:pStyle w:val="NormalWeb"/>
        <w:spacing w:before="120" w:beforeAutospacing="0" w:after="0" w:afterAutospacing="0"/>
        <w:rPr>
          <w:rFonts w:ascii="Verdana" w:hAnsi="Verdana"/>
          <w:color w:val="404040"/>
          <w:sz w:val="18"/>
          <w:szCs w:val="18"/>
        </w:rPr>
      </w:pPr>
      <w:hyperlink r:id="rId292" w:history="1">
        <w:r w:rsidR="009E18B2" w:rsidRPr="002665E5">
          <w:rPr>
            <w:rStyle w:val="Hyperlink"/>
            <w:rFonts w:cs="Arial"/>
            <w:color w:val="004494"/>
          </w:rPr>
          <w:t>Fișă informativă</w:t>
        </w:r>
      </w:hyperlink>
      <w:hyperlink r:id="rId293" w:history="1"/>
    </w:p>
    <w:p w14:paraId="04E97E3C" w14:textId="4D8F1039" w:rsidR="009E18B2" w:rsidRPr="002665E5" w:rsidRDefault="009E18B2" w:rsidP="00D27A1C">
      <w:pPr>
        <w:pStyle w:val="separatorarticole"/>
      </w:pPr>
      <w:r w:rsidRPr="002665E5">
        <w:t>*</w:t>
      </w:r>
    </w:p>
    <w:p w14:paraId="3F0CE8BC" w14:textId="77777777" w:rsidR="009E18B2" w:rsidRPr="002665E5" w:rsidRDefault="009E18B2" w:rsidP="00D27A1C">
      <w:pPr>
        <w:pStyle w:val="TitluArticolinINFOUE"/>
        <w:rPr>
          <w:lang w:eastAsia="ro-RO"/>
        </w:rPr>
      </w:pPr>
      <w:bookmarkStart w:id="181" w:name="_Toc104197307"/>
      <w:r w:rsidRPr="002665E5">
        <w:t>Solidaritatea cu Ucraina: Comisia va furniza 248 milioane EUR pentru a sprijini statele membre care îi primesc pe cei care fug din calea războiului</w:t>
      </w:r>
      <w:bookmarkEnd w:id="181"/>
    </w:p>
    <w:p w14:paraId="6D495002" w14:textId="77777777" w:rsidR="009E18B2" w:rsidRPr="002665E5" w:rsidRDefault="009E18B2" w:rsidP="002665E5">
      <w:pPr>
        <w:pStyle w:val="ecl-page-header-standardiseddescription"/>
        <w:shd w:val="clear" w:color="auto" w:fill="FFFFFF"/>
        <w:spacing w:before="120" w:beforeAutospacing="0" w:after="0" w:afterAutospacing="0"/>
        <w:rPr>
          <w:rFonts w:ascii="Verdana" w:hAnsi="Verdana" w:cs="Arial"/>
          <w:color w:val="404040"/>
          <w:sz w:val="18"/>
          <w:szCs w:val="18"/>
        </w:rPr>
      </w:pPr>
      <w:r w:rsidRPr="002665E5">
        <w:rPr>
          <w:rFonts w:ascii="Verdana" w:hAnsi="Verdana" w:cs="Arial"/>
          <w:color w:val="404040"/>
          <w:sz w:val="18"/>
          <w:szCs w:val="18"/>
        </w:rPr>
        <w:t>Astăzi, 18 mai, Comisia a decis să pună 248 milioane EUR la dispoziția României și altor 4 state membre care au fost cele mai afectate la începutul războiului și care găzduiesc un număr mare de refugiați.</w:t>
      </w:r>
    </w:p>
    <w:p w14:paraId="031014B3" w14:textId="37A4828D" w:rsidR="009E18B2" w:rsidRPr="002665E5" w:rsidRDefault="009E18B2" w:rsidP="00D27A1C">
      <w:pPr>
        <w:rPr>
          <w:color w:val="404040"/>
          <w:szCs w:val="18"/>
        </w:rPr>
      </w:pPr>
      <w:r w:rsidRPr="002665E5">
        <w:rPr>
          <w:noProof/>
          <w:szCs w:val="18"/>
          <w:lang w:eastAsia="ro-RO"/>
        </w:rPr>
        <w:drawing>
          <wp:anchor distT="0" distB="0" distL="114300" distR="114300" simplePos="0" relativeHeight="252098560" behindDoc="0" locked="0" layoutInCell="1" allowOverlap="1" wp14:anchorId="36670CF0" wp14:editId="6120853E">
            <wp:simplePos x="0" y="0"/>
            <wp:positionH relativeFrom="column">
              <wp:posOffset>2540</wp:posOffset>
            </wp:positionH>
            <wp:positionV relativeFrom="paragraph">
              <wp:posOffset>80010</wp:posOffset>
            </wp:positionV>
            <wp:extent cx="2618532" cy="1751853"/>
            <wp:effectExtent l="0" t="0" r="0" b="1270"/>
            <wp:wrapSquare wrapText="bothSides"/>
            <wp:docPr id="42" name="Picture 42" descr="ROUASolida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UASolidaritate"/>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2618532" cy="1751853"/>
                    </a:xfrm>
                    <a:prstGeom prst="rect">
                      <a:avLst/>
                    </a:prstGeom>
                    <a:noFill/>
                    <a:ln>
                      <a:noFill/>
                    </a:ln>
                  </pic:spPr>
                </pic:pic>
              </a:graphicData>
            </a:graphic>
          </wp:anchor>
        </w:drawing>
      </w:r>
      <w:r w:rsidRPr="002665E5">
        <w:rPr>
          <w:color w:val="404040"/>
          <w:szCs w:val="18"/>
        </w:rPr>
        <w:t>Astăzi, 18 mai, Comisia a decis să pună 248 milioane EUR la dispoziția unui număr de 5 state membre care au fost cele mai afectate la începutul războiului și care găzduiesc un număr mare de refugiați, pentru a sprijini sistemele acestora de primire și de gestionare a frontierelor.</w:t>
      </w:r>
    </w:p>
    <w:p w14:paraId="1AF6CF3A" w14:textId="66FD41DC"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Decizia se succedă evenimentului mondial de strângere de fonduri din 9 aprilie, intitulat „Susținem Ucraina”, în cadrul căruia Comisia s-a angajat să sprijine, cu până la 400 milioane EUR, refugiații care ajung din Ucraina în cele mai afectate state membre.</w:t>
      </w:r>
    </w:p>
    <w:p w14:paraId="0978A065" w14:textId="35E49A95"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Polonia, România, Ungaria, Slovacia și Cehia vor primi această asistență de urgență din fondurile pentru afaceri interne. Statele membre pot utiliza aceste fonduri pentru a le oferi asistență imediată, de exemplu alimente, transport și cazare temporară, persoanelor care fug din calea invaziei neprovocate a Ucrainei de către Rusia și pentru a-și spori capacitatea de a gestiona frontierele externe ale UE.</w:t>
      </w:r>
    </w:p>
    <w:p w14:paraId="73ADEF45" w14:textId="4F147CD4" w:rsidR="009E18B2" w:rsidRPr="002665E5" w:rsidRDefault="009E18B2" w:rsidP="002665E5">
      <w:pPr>
        <w:pStyle w:val="NormalWeb"/>
        <w:spacing w:before="120" w:beforeAutospacing="0" w:after="0" w:afterAutospacing="0"/>
        <w:rPr>
          <w:rFonts w:ascii="Verdana" w:hAnsi="Verdana"/>
          <w:color w:val="404040"/>
          <w:sz w:val="18"/>
          <w:szCs w:val="18"/>
        </w:rPr>
      </w:pPr>
      <w:r w:rsidRPr="002665E5">
        <w:rPr>
          <w:rFonts w:ascii="Verdana" w:hAnsi="Verdana"/>
          <w:color w:val="404040"/>
          <w:sz w:val="18"/>
          <w:szCs w:val="18"/>
        </w:rPr>
        <w:t>Organizațiile societății civile și autoritățile locale și regionale joacă, de asemenea, un rol esențial în furnizarea de asistență și, prin urmare, statele membre vor trebui să se asigure că și acestea au acces la această finanțare de urgență. Pentru a se asigura că plățile se efectuează rapid, fără o sarcină administrativă considerabilă, Comisia va elibera fondurile mai degrabă pe baza rezultatelor obținute, decât pe baza costurilor reale. </w:t>
      </w:r>
    </w:p>
    <w:p w14:paraId="72C12D30" w14:textId="230E8146" w:rsidR="009E18B2" w:rsidRDefault="009E18B2" w:rsidP="002665E5">
      <w:pPr>
        <w:pStyle w:val="NormalWeb"/>
        <w:spacing w:before="120" w:beforeAutospacing="0" w:after="0" w:afterAutospacing="0"/>
        <w:rPr>
          <w:rStyle w:val="Emphasis"/>
          <w:color w:val="404040"/>
        </w:rPr>
      </w:pPr>
      <w:r w:rsidRPr="002665E5">
        <w:rPr>
          <w:rFonts w:ascii="Verdana" w:hAnsi="Verdana"/>
          <w:color w:val="404040"/>
          <w:sz w:val="18"/>
          <w:szCs w:val="18"/>
        </w:rPr>
        <w:lastRenderedPageBreak/>
        <w:t>Pentru sprijini în continuare nevoile inițiale de primire pe măsură ce acestea evoluează, Comisia va pune la dispoziție restul de 152 milioane EUR după ce va obține acordul autorității bugetare.</w:t>
      </w:r>
      <w:r w:rsidRPr="002665E5">
        <w:rPr>
          <w:rStyle w:val="Emphasis"/>
          <w:color w:val="404040"/>
        </w:rPr>
        <w:t> </w:t>
      </w:r>
    </w:p>
    <w:p w14:paraId="60216E28" w14:textId="4FF0A77E" w:rsidR="000F7C7D" w:rsidRDefault="000F7C7D" w:rsidP="00E51247">
      <w:pPr>
        <w:pStyle w:val="separatorarticole"/>
        <w:rPr>
          <w:rStyle w:val="Emphasis"/>
          <w:color w:val="404040"/>
        </w:rPr>
      </w:pPr>
      <w:r>
        <w:rPr>
          <w:rStyle w:val="Emphasis"/>
          <w:color w:val="404040"/>
        </w:rPr>
        <w:t>*</w:t>
      </w:r>
    </w:p>
    <w:p w14:paraId="6D0D6BE9" w14:textId="148EA0E2" w:rsidR="000F7C7D" w:rsidRDefault="000F7C7D" w:rsidP="00E51247">
      <w:pPr>
        <w:pStyle w:val="TitluArticolinINFOUE"/>
        <w:rPr>
          <w:sz w:val="48"/>
          <w:szCs w:val="48"/>
          <w:lang w:eastAsia="ro-RO"/>
        </w:rPr>
      </w:pPr>
      <w:bookmarkStart w:id="182" w:name="_Toc104197308"/>
      <w:r>
        <w:t>UE furnizează Ucrainei asistență macrofinanciară în valoare de 600 milioane EUR</w:t>
      </w:r>
      <w:bookmarkEnd w:id="182"/>
    </w:p>
    <w:p w14:paraId="36F1B624" w14:textId="3EBEC270" w:rsidR="000F7C7D" w:rsidRPr="00E51247" w:rsidRDefault="00E51247" w:rsidP="00E51247">
      <w:pPr>
        <w:pStyle w:val="ecl-page-header-standardiseddescription"/>
        <w:shd w:val="clear" w:color="auto" w:fill="FFFFFF"/>
        <w:spacing w:before="120" w:beforeAutospacing="0" w:after="0" w:afterAutospacing="0"/>
        <w:rPr>
          <w:rFonts w:ascii="Verdana" w:hAnsi="Verdana" w:cs="Arial"/>
          <w:color w:val="404040"/>
          <w:sz w:val="18"/>
          <w:szCs w:val="18"/>
        </w:rPr>
      </w:pPr>
      <w:r w:rsidRPr="00E51247">
        <w:rPr>
          <w:rFonts w:ascii="Verdana" w:hAnsi="Verdana"/>
          <w:noProof/>
          <w:sz w:val="18"/>
          <w:szCs w:val="18"/>
        </w:rPr>
        <w:drawing>
          <wp:anchor distT="0" distB="0" distL="114300" distR="114300" simplePos="0" relativeHeight="252105728" behindDoc="0" locked="0" layoutInCell="1" allowOverlap="1" wp14:anchorId="043CC892" wp14:editId="7924060F">
            <wp:simplePos x="0" y="0"/>
            <wp:positionH relativeFrom="column">
              <wp:posOffset>50165</wp:posOffset>
            </wp:positionH>
            <wp:positionV relativeFrom="paragraph">
              <wp:posOffset>90170</wp:posOffset>
            </wp:positionV>
            <wp:extent cx="2114550" cy="1414679"/>
            <wp:effectExtent l="0" t="0" r="0" b="0"/>
            <wp:wrapSquare wrapText="bothSides"/>
            <wp:docPr id="24" name="Picture 24" descr="MFA_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FA_UA"/>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2114550" cy="1414679"/>
                    </a:xfrm>
                    <a:prstGeom prst="rect">
                      <a:avLst/>
                    </a:prstGeom>
                    <a:noFill/>
                    <a:ln>
                      <a:noFill/>
                    </a:ln>
                  </pic:spPr>
                </pic:pic>
              </a:graphicData>
            </a:graphic>
          </wp:anchor>
        </w:drawing>
      </w:r>
      <w:r w:rsidR="000F7C7D" w:rsidRPr="00E51247">
        <w:rPr>
          <w:rFonts w:ascii="Verdana" w:hAnsi="Verdana" w:cs="Arial"/>
          <w:color w:val="404040"/>
          <w:sz w:val="18"/>
          <w:szCs w:val="18"/>
        </w:rPr>
        <w:t>În numele UE, Comisia Europeană a plătit astăzi, 20 mai, 600 milioane EUR Ucrainei sub formă de asistență macrofinanciară (AMF).</w:t>
      </w:r>
    </w:p>
    <w:p w14:paraId="07417403" w14:textId="77777777" w:rsidR="000F7C7D" w:rsidRPr="00E51247" w:rsidRDefault="000F7C7D" w:rsidP="00E51247">
      <w:pPr>
        <w:pStyle w:val="NormalWeb"/>
        <w:spacing w:before="120" w:beforeAutospacing="0" w:after="0" w:afterAutospacing="0"/>
        <w:rPr>
          <w:rFonts w:ascii="Verdana" w:hAnsi="Verdana"/>
          <w:color w:val="404040"/>
          <w:sz w:val="18"/>
          <w:szCs w:val="18"/>
        </w:rPr>
      </w:pPr>
      <w:r w:rsidRPr="00E51247">
        <w:rPr>
          <w:rFonts w:ascii="Verdana" w:hAnsi="Verdana"/>
          <w:color w:val="404040"/>
          <w:sz w:val="18"/>
          <w:szCs w:val="18"/>
        </w:rPr>
        <w:t>În urma invaziei neprovocate și nejustificate a Rusiei, acest sprijin financiar de urgență ajută Ucraina să abordeze deficitul său acut de finanțare pentru nevoile sale umanitare și de apărare excepționale.</w:t>
      </w:r>
    </w:p>
    <w:p w14:paraId="750C4FA8" w14:textId="77777777" w:rsidR="000F7C7D" w:rsidRPr="00E51247" w:rsidRDefault="000F7C7D" w:rsidP="00E51247">
      <w:pPr>
        <w:pStyle w:val="NormalWeb"/>
        <w:spacing w:before="120" w:beforeAutospacing="0" w:after="0" w:afterAutospacing="0"/>
        <w:rPr>
          <w:rFonts w:ascii="Verdana" w:hAnsi="Verdana"/>
          <w:color w:val="404040"/>
          <w:sz w:val="18"/>
          <w:szCs w:val="18"/>
        </w:rPr>
      </w:pPr>
      <w:r w:rsidRPr="00E51247">
        <w:rPr>
          <w:rFonts w:ascii="Verdana" w:hAnsi="Verdana"/>
          <w:color w:val="404040"/>
          <w:sz w:val="18"/>
          <w:szCs w:val="18"/>
        </w:rPr>
        <w:t>Prima tranșă, de 600 milioane EUR, din această operațiune de asistență macrofinanciară de urgență a fost plătită în două etape la 11 și 18 martie. Plata s-a efectuat în urma unei evaluări a progreselor înregistrate de autorități în ceea ce privește punerea în aplicare a măsurilor de politică structurală convenite în memorandumul de înțelegere.</w:t>
      </w:r>
    </w:p>
    <w:p w14:paraId="7458E58D" w14:textId="77777777" w:rsidR="000F7C7D" w:rsidRPr="00E51247" w:rsidRDefault="000F7C7D" w:rsidP="00E51247">
      <w:pPr>
        <w:pStyle w:val="NormalWeb"/>
        <w:spacing w:before="120" w:beforeAutospacing="0" w:after="0" w:afterAutospacing="0"/>
        <w:rPr>
          <w:rFonts w:ascii="Verdana" w:hAnsi="Verdana"/>
          <w:color w:val="404040"/>
          <w:sz w:val="18"/>
          <w:szCs w:val="18"/>
        </w:rPr>
      </w:pPr>
      <w:r w:rsidRPr="00E51247">
        <w:rPr>
          <w:rFonts w:ascii="Verdana" w:hAnsi="Verdana"/>
          <w:color w:val="404040"/>
          <w:sz w:val="18"/>
          <w:szCs w:val="18"/>
        </w:rPr>
        <w:t>Comisia a concluzionat că, în general, autoritățile au luat măsuri în vederea îndeplinirii condiționalității convenite. Cu toate acestea, circumstanțele actuale ale războiului constituie un eveniment de forță majoră care împiedică finalizarea efectivă a măsurilor de politică structurală. Ca răspuns excepțional la nevoile acute de finanțare ale Ucrainei și întrucât condiționalitatea nu poate fi îndeplinită, în acest stadiu, din motive de forță majoră, Comisia a decis să procedeze de urgență la plata celei de a doua tranșe.</w:t>
      </w:r>
    </w:p>
    <w:p w14:paraId="116B4671" w14:textId="43B86B8B" w:rsidR="000F7C7D" w:rsidRPr="00E51247" w:rsidRDefault="000F7C7D" w:rsidP="00E51247">
      <w:pPr>
        <w:pStyle w:val="NormalWeb"/>
        <w:spacing w:before="120" w:beforeAutospacing="0" w:after="0" w:afterAutospacing="0"/>
        <w:rPr>
          <w:rFonts w:ascii="Verdana" w:hAnsi="Verdana"/>
          <w:color w:val="404040"/>
          <w:sz w:val="18"/>
          <w:szCs w:val="18"/>
        </w:rPr>
      </w:pPr>
      <w:r w:rsidRPr="00E51247">
        <w:rPr>
          <w:rFonts w:ascii="Verdana" w:hAnsi="Verdana"/>
          <w:color w:val="404040"/>
          <w:sz w:val="18"/>
          <w:szCs w:val="18"/>
        </w:rPr>
        <w:t>De la începutul agresiunii ruse, UE și-a intensificat în mod semnificativ sprijinul, mobilizând aproximativ 4,1 miliarde EUR pentru a sprijini reziliența economică, socială și financiară globală ale Ucrainei. La 18 mai, Comisia a prezentat planuri sub forma unei </w:t>
      </w:r>
      <w:hyperlink r:id="rId296" w:history="1">
        <w:r w:rsidRPr="00E51247">
          <w:rPr>
            <w:rStyle w:val="Hyperlink"/>
            <w:rFonts w:cs="Arial"/>
            <w:color w:val="004494"/>
          </w:rPr>
          <w:t>comunicări</w:t>
        </w:r>
      </w:hyperlink>
      <w:hyperlink r:id="rId297" w:history="1"/>
      <w:r w:rsidRPr="00E51247">
        <w:rPr>
          <w:rFonts w:ascii="Verdana" w:hAnsi="Verdana"/>
          <w:color w:val="404040"/>
          <w:sz w:val="18"/>
          <w:szCs w:val="18"/>
        </w:rPr>
        <w:t> privind răspunsul imediat al UE la problema deficitului de finanțare al Ucrainei, precum și cadrul pentru reconstrucție pe termen mai lung, intenționând să propună acordarea, în 2022, a unei asistențe macrofinanciare suplimentare Ucrainei sub formă de împrumuturi în valoare de până la 9 miliarde EUR.</w:t>
      </w:r>
    </w:p>
    <w:p w14:paraId="5B7A0609" w14:textId="15029F52" w:rsidR="000F7C7D" w:rsidRPr="00E51247" w:rsidRDefault="000F7C7D" w:rsidP="00E51247">
      <w:pPr>
        <w:pStyle w:val="NormalWeb"/>
        <w:spacing w:before="120" w:beforeAutospacing="0" w:after="0" w:afterAutospacing="0"/>
        <w:rPr>
          <w:rFonts w:ascii="Verdana" w:hAnsi="Verdana"/>
          <w:color w:val="404040"/>
          <w:sz w:val="18"/>
          <w:szCs w:val="18"/>
        </w:rPr>
      </w:pPr>
      <w:r w:rsidRPr="00E51247">
        <w:rPr>
          <w:rFonts w:ascii="Verdana" w:hAnsi="Verdana"/>
          <w:color w:val="404040"/>
          <w:sz w:val="18"/>
          <w:szCs w:val="18"/>
        </w:rPr>
        <w:t>Un comunicat de presă este disponibil </w:t>
      </w:r>
      <w:hyperlink r:id="rId298" w:history="1">
        <w:r w:rsidRPr="00E51247">
          <w:rPr>
            <w:rStyle w:val="Hyperlink"/>
            <w:rFonts w:cs="Arial"/>
            <w:color w:val="004494"/>
          </w:rPr>
          <w:t>aici</w:t>
        </w:r>
      </w:hyperlink>
      <w:hyperlink r:id="rId299" w:history="1"/>
      <w:r w:rsidRPr="00E51247">
        <w:rPr>
          <w:rFonts w:ascii="Verdana" w:hAnsi="Verdana"/>
          <w:color w:val="404040"/>
          <w:sz w:val="18"/>
          <w:szCs w:val="18"/>
        </w:rPr>
        <w:t>.</w:t>
      </w:r>
    </w:p>
    <w:p w14:paraId="3D312BB2" w14:textId="58EC6380" w:rsidR="00D27A1C" w:rsidRDefault="00D27A1C" w:rsidP="00D27A1C">
      <w:pPr>
        <w:pStyle w:val="Stilsursa"/>
      </w:pPr>
      <w:bookmarkStart w:id="183" w:name="_Hlk96338715"/>
      <w:bookmarkStart w:id="184" w:name="_Hlk96338547"/>
      <w:bookmarkEnd w:id="176"/>
      <w:bookmarkEnd w:id="177"/>
      <w:r>
        <w:t xml:space="preserve">Sursa: </w:t>
      </w:r>
      <w:r w:rsidRPr="00D27A1C">
        <w:t>https://romania.representation.ec.europa.eu/stiri-evenimente-si-resurse-pentru-presa/stiri_ro</w:t>
      </w:r>
    </w:p>
    <w:p w14:paraId="20632793" w14:textId="01D9A9B5" w:rsidR="00752B24" w:rsidRPr="00752B24" w:rsidRDefault="00752B24" w:rsidP="00752B24">
      <w:pPr>
        <w:spacing w:before="240" w:after="240"/>
        <w:ind w:right="198"/>
        <w:jc w:val="center"/>
        <w:rPr>
          <w:color w:val="9999FF"/>
          <w:spacing w:val="40"/>
          <w:sz w:val="16"/>
          <w:szCs w:val="16"/>
        </w:rPr>
      </w:pPr>
      <w:r w:rsidRPr="00752B24">
        <w:rPr>
          <w:color w:val="9999FF"/>
          <w:spacing w:val="40"/>
          <w:sz w:val="16"/>
          <w:szCs w:val="16"/>
        </w:rPr>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p w14:paraId="2E00C557" w14:textId="402CCD31" w:rsidR="004568B9" w:rsidRDefault="004568B9" w:rsidP="004568B9"/>
    <w:p w14:paraId="11C89CB5" w14:textId="77777777" w:rsidR="004568B9" w:rsidRPr="004568B9" w:rsidRDefault="004568B9" w:rsidP="004568B9"/>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7"/>
          <w:bookmarkEnd w:id="18"/>
          <w:bookmarkEnd w:id="133"/>
          <w:bookmarkEnd w:id="134"/>
          <w:bookmarkEnd w:id="135"/>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bookmarkEnd w:id="183"/>
    <w:bookmarkEnd w:id="184"/>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2544" behindDoc="0" locked="0" layoutInCell="1" allowOverlap="1" wp14:anchorId="0EBB5C0F" wp14:editId="7FBC0C7E">
                <wp:simplePos x="0" y="0"/>
                <wp:positionH relativeFrom="margin">
                  <wp:posOffset>1451238</wp:posOffset>
                </wp:positionH>
                <wp:positionV relativeFrom="margin">
                  <wp:posOffset>634161</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272932" w:rsidRDefault="00272932" w:rsidP="00FB71DC">
                            <w:pPr>
                              <w:jc w:val="center"/>
                              <w:rPr>
                                <w:b/>
                                <w:smallCaps/>
                                <w:color w:val="000080"/>
                                <w:szCs w:val="18"/>
                                <w:u w:val="single"/>
                              </w:rPr>
                            </w:pPr>
                          </w:p>
                          <w:p w14:paraId="32A750FB" w14:textId="77777777" w:rsidR="00272932" w:rsidRDefault="00272932" w:rsidP="00FB71DC">
                            <w:pPr>
                              <w:jc w:val="center"/>
                              <w:rPr>
                                <w:b/>
                                <w:smallCaps/>
                                <w:color w:val="000080"/>
                                <w:szCs w:val="18"/>
                                <w:u w:val="single"/>
                              </w:rPr>
                            </w:pPr>
                          </w:p>
                          <w:p w14:paraId="57DA7989" w14:textId="77777777" w:rsidR="00272932" w:rsidRPr="00307C1A" w:rsidRDefault="00272932"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272932" w:rsidRPr="00307C1A" w:rsidRDefault="00272932"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272932" w:rsidRPr="00100481" w:rsidRDefault="00272932"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272932" w:rsidRDefault="00272932" w:rsidP="00FB71DC">
                            <w:pPr>
                              <w:spacing w:before="200"/>
                              <w:jc w:val="center"/>
                              <w:rPr>
                                <w:b/>
                                <w:smallCaps/>
                                <w:color w:val="000080"/>
                                <w:szCs w:val="18"/>
                              </w:rPr>
                            </w:pPr>
                          </w:p>
                          <w:p w14:paraId="10BB6620" w14:textId="77777777" w:rsidR="00272932" w:rsidRDefault="00272932" w:rsidP="00FB71DC">
                            <w:pPr>
                              <w:spacing w:before="200"/>
                              <w:jc w:val="center"/>
                              <w:rPr>
                                <w:b/>
                                <w:smallCaps/>
                                <w:color w:val="000080"/>
                                <w:szCs w:val="18"/>
                              </w:rPr>
                            </w:pPr>
                          </w:p>
                          <w:p w14:paraId="00499C2A" w14:textId="77777777" w:rsidR="00272932" w:rsidRPr="00827DC2" w:rsidRDefault="00272932" w:rsidP="00FB71DC">
                            <w:pPr>
                              <w:jc w:val="center"/>
                              <w:rPr>
                                <w:b/>
                                <w:smallCaps/>
                                <w:color w:val="000080"/>
                                <w:szCs w:val="18"/>
                              </w:rPr>
                            </w:pPr>
                            <w:r w:rsidRPr="00827DC2">
                              <w:rPr>
                                <w:b/>
                                <w:smallCaps/>
                                <w:color w:val="000080"/>
                                <w:szCs w:val="18"/>
                              </w:rPr>
                              <w:t>Instituţia Prefectului - Judeţul Hunedoara</w:t>
                            </w:r>
                          </w:p>
                          <w:p w14:paraId="22F8B620" w14:textId="77777777" w:rsidR="00272932" w:rsidRPr="00A16260" w:rsidRDefault="00272932"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272932" w:rsidRPr="00A16260" w:rsidRDefault="00272932"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272932" w:rsidRDefault="00272932"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272932" w:rsidRPr="00A16260" w:rsidRDefault="00272932" w:rsidP="00FB71DC">
                            <w:pPr>
                              <w:spacing w:before="40"/>
                              <w:jc w:val="center"/>
                              <w:rPr>
                                <w:rFonts w:ascii="Book Antiqua" w:hAnsi="Book Antiqua" w:cs="Tahoma"/>
                                <w:b/>
                                <w:szCs w:val="18"/>
                              </w:rPr>
                            </w:pPr>
                          </w:p>
                          <w:p w14:paraId="33D8A147" w14:textId="77777777" w:rsidR="00272932" w:rsidRPr="00C85301" w:rsidRDefault="00272932" w:rsidP="00FB71DC">
                            <w:pPr>
                              <w:spacing w:before="40"/>
                              <w:jc w:val="center"/>
                              <w:rPr>
                                <w:rStyle w:val="Hyperlink"/>
                                <w:rFonts w:ascii="Book Antiqua" w:hAnsi="Book Antiqua"/>
                              </w:rPr>
                            </w:pPr>
                            <w:hyperlink r:id="rId301"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272932" w:rsidRPr="00A16260" w:rsidRDefault="00272932"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14.25pt;margin-top:49.95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" fillcolor="#85abcd" strokecolor="gray" strokeweight="5.25pt">
                <v:fill opacity="13107f"/>
                <v:stroke linestyle="thickThin"/>
                <v:textbox>
                  <w:txbxContent>
                    <w:p w14:paraId="11B0472D" w14:textId="77777777" w:rsidR="00272932" w:rsidRDefault="00272932" w:rsidP="00FB71DC">
                      <w:pPr>
                        <w:jc w:val="center"/>
                        <w:rPr>
                          <w:b/>
                          <w:smallCaps/>
                          <w:color w:val="000080"/>
                          <w:szCs w:val="18"/>
                          <w:u w:val="single"/>
                        </w:rPr>
                      </w:pPr>
                    </w:p>
                    <w:p w14:paraId="32A750FB" w14:textId="77777777" w:rsidR="00272932" w:rsidRDefault="00272932" w:rsidP="00FB71DC">
                      <w:pPr>
                        <w:jc w:val="center"/>
                        <w:rPr>
                          <w:b/>
                          <w:smallCaps/>
                          <w:color w:val="000080"/>
                          <w:szCs w:val="18"/>
                          <w:u w:val="single"/>
                        </w:rPr>
                      </w:pPr>
                    </w:p>
                    <w:p w14:paraId="57DA7989" w14:textId="77777777" w:rsidR="00272932" w:rsidRPr="00307C1A" w:rsidRDefault="00272932"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272932" w:rsidRPr="00307C1A" w:rsidRDefault="00272932"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272932" w:rsidRPr="00100481" w:rsidRDefault="00272932"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272932" w:rsidRDefault="00272932" w:rsidP="00FB71DC">
                      <w:pPr>
                        <w:spacing w:before="200"/>
                        <w:jc w:val="center"/>
                        <w:rPr>
                          <w:b/>
                          <w:smallCaps/>
                          <w:color w:val="000080"/>
                          <w:szCs w:val="18"/>
                        </w:rPr>
                      </w:pPr>
                    </w:p>
                    <w:p w14:paraId="10BB6620" w14:textId="77777777" w:rsidR="00272932" w:rsidRDefault="00272932" w:rsidP="00FB71DC">
                      <w:pPr>
                        <w:spacing w:before="200"/>
                        <w:jc w:val="center"/>
                        <w:rPr>
                          <w:b/>
                          <w:smallCaps/>
                          <w:color w:val="000080"/>
                          <w:szCs w:val="18"/>
                        </w:rPr>
                      </w:pPr>
                    </w:p>
                    <w:p w14:paraId="00499C2A" w14:textId="77777777" w:rsidR="00272932" w:rsidRPr="00827DC2" w:rsidRDefault="00272932" w:rsidP="00FB71DC">
                      <w:pPr>
                        <w:jc w:val="center"/>
                        <w:rPr>
                          <w:b/>
                          <w:smallCaps/>
                          <w:color w:val="000080"/>
                          <w:szCs w:val="18"/>
                        </w:rPr>
                      </w:pPr>
                      <w:r w:rsidRPr="00827DC2">
                        <w:rPr>
                          <w:b/>
                          <w:smallCaps/>
                          <w:color w:val="000080"/>
                          <w:szCs w:val="18"/>
                        </w:rPr>
                        <w:t>Instituţia Prefectului - Judeţul Hunedoara</w:t>
                      </w:r>
                    </w:p>
                    <w:p w14:paraId="22F8B620" w14:textId="77777777" w:rsidR="00272932" w:rsidRPr="00A16260" w:rsidRDefault="00272932"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272932" w:rsidRPr="00A16260" w:rsidRDefault="00272932"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272932" w:rsidRDefault="00272932"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272932" w:rsidRPr="00A16260" w:rsidRDefault="00272932" w:rsidP="00FB71DC">
                      <w:pPr>
                        <w:spacing w:before="40"/>
                        <w:jc w:val="center"/>
                        <w:rPr>
                          <w:rFonts w:ascii="Book Antiqua" w:hAnsi="Book Antiqua" w:cs="Tahoma"/>
                          <w:b/>
                          <w:szCs w:val="18"/>
                        </w:rPr>
                      </w:pPr>
                    </w:p>
                    <w:p w14:paraId="33D8A147" w14:textId="77777777" w:rsidR="00272932" w:rsidRPr="00C85301" w:rsidRDefault="00272932" w:rsidP="00FB71DC">
                      <w:pPr>
                        <w:spacing w:before="40"/>
                        <w:jc w:val="center"/>
                        <w:rPr>
                          <w:rStyle w:val="Hyperlink"/>
                          <w:rFonts w:ascii="Book Antiqua" w:hAnsi="Book Antiqua"/>
                        </w:rPr>
                      </w:pPr>
                      <w:hyperlink r:id="rId302"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272932" w:rsidRPr="00A16260" w:rsidRDefault="00272932"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303"/>
      <w:headerReference w:type="default" r:id="rId304"/>
      <w:footerReference w:type="default" r:id="rId305"/>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56C37" w14:textId="77777777" w:rsidR="007A6C1F" w:rsidRDefault="007A6C1F">
      <w:r>
        <w:separator/>
      </w:r>
    </w:p>
    <w:p w14:paraId="4C8575E9" w14:textId="77777777" w:rsidR="007A6C1F" w:rsidRDefault="007A6C1F"/>
  </w:endnote>
  <w:endnote w:type="continuationSeparator" w:id="0">
    <w:p w14:paraId="7C3F5ABF" w14:textId="77777777" w:rsidR="007A6C1F" w:rsidRDefault="007A6C1F">
      <w:r>
        <w:continuationSeparator/>
      </w:r>
    </w:p>
    <w:p w14:paraId="25894EBE" w14:textId="77777777" w:rsidR="007A6C1F" w:rsidRDefault="007A6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272932" w:rsidRPr="006E031F" w14:paraId="29C45603" w14:textId="77777777" w:rsidTr="0041562B">
      <w:trPr>
        <w:gridAfter w:val="1"/>
        <w:wAfter w:w="6" w:type="pct"/>
        <w:trHeight w:val="288"/>
      </w:trPr>
      <w:tc>
        <w:tcPr>
          <w:tcW w:w="600" w:type="pct"/>
          <w:vMerge w:val="restart"/>
          <w:vAlign w:val="center"/>
        </w:tcPr>
        <w:p w14:paraId="65FB61FF" w14:textId="77777777" w:rsidR="00272932" w:rsidRPr="008B206B" w:rsidRDefault="00272932" w:rsidP="0041562B">
          <w:pPr>
            <w:pStyle w:val="Footer"/>
            <w:spacing w:before="0"/>
            <w:rPr>
              <w:szCs w:val="18"/>
            </w:rPr>
          </w:pPr>
          <w:r w:rsidRPr="008B206B">
            <w:rPr>
              <w:szCs w:val="18"/>
            </w:rPr>
            <w:t xml:space="preserve">Anul </w:t>
          </w:r>
        </w:p>
        <w:p w14:paraId="77EB7363" w14:textId="404A0254" w:rsidR="00272932" w:rsidRPr="00E97917" w:rsidRDefault="00272932"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5EFAB131" w:rsidR="00272932" w:rsidRPr="008B206B" w:rsidRDefault="00272932" w:rsidP="000C4561">
          <w:pPr>
            <w:pStyle w:val="Footer"/>
            <w:spacing w:before="0"/>
            <w:rPr>
              <w:szCs w:val="18"/>
            </w:rPr>
          </w:pPr>
          <w:r>
            <w:rPr>
              <w:szCs w:val="18"/>
            </w:rPr>
            <w:t>Numărul 20</w:t>
          </w:r>
        </w:p>
      </w:tc>
      <w:tc>
        <w:tcPr>
          <w:tcW w:w="2650" w:type="pct"/>
          <w:vAlign w:val="center"/>
        </w:tcPr>
        <w:p w14:paraId="5CFAC056" w14:textId="568EF47D" w:rsidR="00272932" w:rsidRPr="00CD7AF9" w:rsidRDefault="00272932" w:rsidP="000C4561">
          <w:pPr>
            <w:spacing w:before="0"/>
            <w:jc w:val="center"/>
            <w:rPr>
              <w:rFonts w:ascii="Book Antiqua" w:hAnsi="Book Antiqua"/>
              <w:b/>
              <w:color w:val="000080"/>
              <w:spacing w:val="10"/>
              <w:szCs w:val="18"/>
            </w:rPr>
          </w:pPr>
          <w:r>
            <w:rPr>
              <w:rFonts w:ascii="Book Antiqua" w:hAnsi="Book Antiqua"/>
              <w:b/>
              <w:color w:val="000080"/>
              <w:spacing w:val="10"/>
              <w:szCs w:val="18"/>
            </w:rPr>
            <w:t>16</w:t>
          </w:r>
          <w:r w:rsidRPr="00A776D6">
            <w:rPr>
              <w:rFonts w:ascii="Book Antiqua" w:hAnsi="Book Antiqua"/>
              <w:b/>
              <w:color w:val="000080"/>
              <w:spacing w:val="10"/>
              <w:szCs w:val="18"/>
            </w:rPr>
            <w:t xml:space="preserve"> – </w:t>
          </w:r>
          <w:r>
            <w:rPr>
              <w:rFonts w:ascii="Book Antiqua" w:hAnsi="Book Antiqua"/>
              <w:b/>
              <w:color w:val="000080"/>
              <w:spacing w:val="10"/>
              <w:szCs w:val="18"/>
            </w:rPr>
            <w:t>22</w:t>
          </w:r>
          <w:r w:rsidRPr="00A776D6">
            <w:rPr>
              <w:rFonts w:ascii="Book Antiqua" w:hAnsi="Book Antiqua"/>
              <w:b/>
              <w:color w:val="000080"/>
              <w:spacing w:val="10"/>
              <w:szCs w:val="18"/>
            </w:rPr>
            <w:t xml:space="preserve"> mai</w:t>
          </w:r>
        </w:p>
      </w:tc>
      <w:tc>
        <w:tcPr>
          <w:tcW w:w="921" w:type="pct"/>
          <w:vAlign w:val="center"/>
        </w:tcPr>
        <w:p w14:paraId="1AB19596" w14:textId="77777777" w:rsidR="00272932" w:rsidRPr="008B206B" w:rsidRDefault="00272932"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8A0424">
            <w:rPr>
              <w:noProof/>
              <w:szCs w:val="18"/>
            </w:rPr>
            <w:t>2</w:t>
          </w:r>
          <w:r w:rsidRPr="008B206B">
            <w:rPr>
              <w:szCs w:val="18"/>
            </w:rPr>
            <w:fldChar w:fldCharType="end"/>
          </w:r>
        </w:p>
      </w:tc>
    </w:tr>
    <w:tr w:rsidR="00272932" w:rsidRPr="006E031F" w14:paraId="5A7A2BD8" w14:textId="77777777" w:rsidTr="00E119C2">
      <w:trPr>
        <w:trHeight w:val="257"/>
      </w:trPr>
      <w:tc>
        <w:tcPr>
          <w:tcW w:w="600" w:type="pct"/>
          <w:vMerge/>
        </w:tcPr>
        <w:p w14:paraId="6C24859B" w14:textId="77777777" w:rsidR="00272932" w:rsidRPr="006E031F" w:rsidRDefault="00272932" w:rsidP="0041562B">
          <w:pPr>
            <w:spacing w:before="0"/>
            <w:jc w:val="center"/>
            <w:rPr>
              <w:rFonts w:ascii="Book Antiqua" w:hAnsi="Book Antiqua"/>
              <w:b/>
              <w:color w:val="808080"/>
              <w:szCs w:val="18"/>
            </w:rPr>
          </w:pPr>
        </w:p>
      </w:tc>
      <w:tc>
        <w:tcPr>
          <w:tcW w:w="824" w:type="pct"/>
          <w:vMerge/>
          <w:vAlign w:val="center"/>
        </w:tcPr>
        <w:p w14:paraId="50268750" w14:textId="77777777" w:rsidR="00272932" w:rsidRPr="006E031F" w:rsidRDefault="00272932" w:rsidP="0041562B">
          <w:pPr>
            <w:spacing w:before="0"/>
            <w:jc w:val="center"/>
            <w:rPr>
              <w:rFonts w:ascii="Book Antiqua" w:hAnsi="Book Antiqua"/>
              <w:b/>
              <w:color w:val="808080"/>
              <w:szCs w:val="18"/>
            </w:rPr>
          </w:pPr>
        </w:p>
      </w:tc>
      <w:tc>
        <w:tcPr>
          <w:tcW w:w="2650" w:type="pct"/>
        </w:tcPr>
        <w:p w14:paraId="7121F994" w14:textId="77777777" w:rsidR="00272932" w:rsidRPr="006E031F" w:rsidRDefault="00272932"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272932" w:rsidRPr="006E031F" w:rsidRDefault="00272932" w:rsidP="0041562B">
          <w:pPr>
            <w:spacing w:before="0"/>
            <w:rPr>
              <w:rFonts w:ascii="Book Antiqua" w:hAnsi="Book Antiqua"/>
              <w:b/>
              <w:color w:val="808080"/>
              <w:szCs w:val="18"/>
            </w:rPr>
          </w:pPr>
        </w:p>
      </w:tc>
    </w:tr>
  </w:tbl>
  <w:p w14:paraId="1BF0DCEE" w14:textId="5F76118D" w:rsidR="00272932" w:rsidRPr="00B445F1" w:rsidRDefault="00272932" w:rsidP="00EF3149">
    <w:pPr>
      <w:tabs>
        <w:tab w:val="left" w:pos="1956"/>
        <w:tab w:val="center" w:pos="4762"/>
      </w:tabs>
    </w:pPr>
    <w:r>
      <w:tab/>
    </w:r>
    <w:r>
      <w:tab/>
    </w:r>
  </w:p>
  <w:p w14:paraId="30EB9954" w14:textId="77777777" w:rsidR="00272932" w:rsidRDefault="002729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FCDD4" w14:textId="77777777" w:rsidR="007A6C1F" w:rsidRDefault="007A6C1F">
      <w:r>
        <w:separator/>
      </w:r>
    </w:p>
    <w:p w14:paraId="2BE804F9" w14:textId="77777777" w:rsidR="007A6C1F" w:rsidRDefault="007A6C1F"/>
  </w:footnote>
  <w:footnote w:type="continuationSeparator" w:id="0">
    <w:p w14:paraId="2EC0BA61" w14:textId="77777777" w:rsidR="007A6C1F" w:rsidRDefault="007A6C1F">
      <w:r>
        <w:continuationSeparator/>
      </w:r>
    </w:p>
    <w:p w14:paraId="32BAD7DB" w14:textId="77777777" w:rsidR="007A6C1F" w:rsidRDefault="007A6C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272932" w:rsidRDefault="00272932" w:rsidP="00633305">
    <w:pPr>
      <w:pStyle w:val="Header"/>
    </w:pPr>
  </w:p>
  <w:p w14:paraId="3D4EE5EE" w14:textId="77777777" w:rsidR="00272932" w:rsidRDefault="00272932"/>
  <w:p w14:paraId="16D7B7A0" w14:textId="77777777" w:rsidR="00272932" w:rsidRDefault="00272932"/>
  <w:p w14:paraId="32F98579" w14:textId="77777777" w:rsidR="00272932" w:rsidRDefault="002729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272932" w:rsidRDefault="00272932"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1253"/>
    <w:multiLevelType w:val="multilevel"/>
    <w:tmpl w:val="54AE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564B7"/>
    <w:multiLevelType w:val="multilevel"/>
    <w:tmpl w:val="3F4A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53F65"/>
    <w:multiLevelType w:val="multilevel"/>
    <w:tmpl w:val="7F26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64546"/>
    <w:multiLevelType w:val="multilevel"/>
    <w:tmpl w:val="C5F4B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45916"/>
    <w:multiLevelType w:val="multilevel"/>
    <w:tmpl w:val="C86E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878BC"/>
    <w:multiLevelType w:val="multilevel"/>
    <w:tmpl w:val="1410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C4910"/>
    <w:multiLevelType w:val="multilevel"/>
    <w:tmpl w:val="4208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563C1"/>
    <w:multiLevelType w:val="multilevel"/>
    <w:tmpl w:val="67C4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201B32"/>
    <w:multiLevelType w:val="multilevel"/>
    <w:tmpl w:val="F938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01F23"/>
    <w:multiLevelType w:val="multilevel"/>
    <w:tmpl w:val="8BA6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477C7D"/>
    <w:multiLevelType w:val="multilevel"/>
    <w:tmpl w:val="110E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3" w15:restartNumberingAfterBreak="0">
    <w:nsid w:val="41285613"/>
    <w:multiLevelType w:val="multilevel"/>
    <w:tmpl w:val="E286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E27DD"/>
    <w:multiLevelType w:val="multilevel"/>
    <w:tmpl w:val="F88C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CF374A"/>
    <w:multiLevelType w:val="multilevel"/>
    <w:tmpl w:val="AB52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01546F"/>
    <w:multiLevelType w:val="multilevel"/>
    <w:tmpl w:val="FCA8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21419"/>
    <w:multiLevelType w:val="multilevel"/>
    <w:tmpl w:val="61C8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B3930C9"/>
    <w:multiLevelType w:val="multilevel"/>
    <w:tmpl w:val="900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6273B2"/>
    <w:multiLevelType w:val="multilevel"/>
    <w:tmpl w:val="68BE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2B53F4"/>
    <w:multiLevelType w:val="multilevel"/>
    <w:tmpl w:val="FD0E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13078F"/>
    <w:multiLevelType w:val="multilevel"/>
    <w:tmpl w:val="3D40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16575B"/>
    <w:multiLevelType w:val="multilevel"/>
    <w:tmpl w:val="269C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F0676F"/>
    <w:multiLevelType w:val="multilevel"/>
    <w:tmpl w:val="9FEE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A12C64"/>
    <w:multiLevelType w:val="multilevel"/>
    <w:tmpl w:val="633A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AF5C82"/>
    <w:multiLevelType w:val="multilevel"/>
    <w:tmpl w:val="715C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12"/>
  </w:num>
  <w:num w:numId="4">
    <w:abstractNumId w:val="0"/>
  </w:num>
  <w:num w:numId="5">
    <w:abstractNumId w:val="1"/>
  </w:num>
  <w:num w:numId="6">
    <w:abstractNumId w:val="2"/>
  </w:num>
  <w:num w:numId="7">
    <w:abstractNumId w:val="16"/>
  </w:num>
  <w:num w:numId="8">
    <w:abstractNumId w:val="14"/>
  </w:num>
  <w:num w:numId="9">
    <w:abstractNumId w:val="15"/>
  </w:num>
  <w:num w:numId="10">
    <w:abstractNumId w:val="10"/>
  </w:num>
  <w:num w:numId="11">
    <w:abstractNumId w:val="22"/>
  </w:num>
  <w:num w:numId="12">
    <w:abstractNumId w:val="3"/>
  </w:num>
  <w:num w:numId="13">
    <w:abstractNumId w:val="21"/>
  </w:num>
  <w:num w:numId="14">
    <w:abstractNumId w:val="11"/>
  </w:num>
  <w:num w:numId="15">
    <w:abstractNumId w:val="7"/>
  </w:num>
  <w:num w:numId="16">
    <w:abstractNumId w:val="5"/>
  </w:num>
  <w:num w:numId="17">
    <w:abstractNumId w:val="17"/>
  </w:num>
  <w:num w:numId="18">
    <w:abstractNumId w:val="24"/>
  </w:num>
  <w:num w:numId="19">
    <w:abstractNumId w:val="26"/>
  </w:num>
  <w:num w:numId="20">
    <w:abstractNumId w:val="9"/>
  </w:num>
  <w:num w:numId="21">
    <w:abstractNumId w:val="8"/>
  </w:num>
  <w:num w:numId="22">
    <w:abstractNumId w:val="4"/>
  </w:num>
  <w:num w:numId="23">
    <w:abstractNumId w:val="13"/>
  </w:num>
  <w:num w:numId="24">
    <w:abstractNumId w:val="19"/>
  </w:num>
  <w:num w:numId="25">
    <w:abstractNumId w:val="23"/>
  </w:num>
  <w:num w:numId="26">
    <w:abstractNumId w:val="20"/>
  </w:num>
  <w:num w:numId="27">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250F"/>
    <w:rsid w:val="0000348F"/>
    <w:rsid w:val="000035FE"/>
    <w:rsid w:val="0000369F"/>
    <w:rsid w:val="0000418C"/>
    <w:rsid w:val="000041A4"/>
    <w:rsid w:val="000042CB"/>
    <w:rsid w:val="000043DC"/>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75A"/>
    <w:rsid w:val="0002483C"/>
    <w:rsid w:val="00024A8B"/>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65B"/>
    <w:rsid w:val="000A6FDB"/>
    <w:rsid w:val="000A77FE"/>
    <w:rsid w:val="000A7B12"/>
    <w:rsid w:val="000B019A"/>
    <w:rsid w:val="000B0469"/>
    <w:rsid w:val="000B04EF"/>
    <w:rsid w:val="000B09C7"/>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4375"/>
    <w:rsid w:val="000C4561"/>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89D"/>
    <w:rsid w:val="000F7BF0"/>
    <w:rsid w:val="000F7C7D"/>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963"/>
    <w:rsid w:val="00280FE5"/>
    <w:rsid w:val="00281031"/>
    <w:rsid w:val="00281983"/>
    <w:rsid w:val="00281B3A"/>
    <w:rsid w:val="00281BF8"/>
    <w:rsid w:val="002825B6"/>
    <w:rsid w:val="00282843"/>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EE"/>
    <w:rsid w:val="002B0609"/>
    <w:rsid w:val="002B0625"/>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6CBD"/>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FC4"/>
    <w:rsid w:val="00340074"/>
    <w:rsid w:val="003403E7"/>
    <w:rsid w:val="0034083C"/>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38A7"/>
    <w:rsid w:val="004243E9"/>
    <w:rsid w:val="004245B5"/>
    <w:rsid w:val="00424A1F"/>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6E9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DC1"/>
    <w:rsid w:val="00576F5F"/>
    <w:rsid w:val="00577063"/>
    <w:rsid w:val="00577A03"/>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BC9"/>
    <w:rsid w:val="006550E0"/>
    <w:rsid w:val="006552A9"/>
    <w:rsid w:val="006558F2"/>
    <w:rsid w:val="006559BE"/>
    <w:rsid w:val="00656297"/>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D2B"/>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3DC"/>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3E5E"/>
    <w:rsid w:val="00734071"/>
    <w:rsid w:val="00734100"/>
    <w:rsid w:val="007341FD"/>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FD9"/>
    <w:rsid w:val="007420A4"/>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746"/>
    <w:rsid w:val="007929E2"/>
    <w:rsid w:val="00792BA6"/>
    <w:rsid w:val="00792BBD"/>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4B5E"/>
    <w:rsid w:val="007B4E9B"/>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D20"/>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37E"/>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692"/>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7F9"/>
    <w:rsid w:val="008B4803"/>
    <w:rsid w:val="008B4B0E"/>
    <w:rsid w:val="008B4C0B"/>
    <w:rsid w:val="008B59BE"/>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4CFC"/>
    <w:rsid w:val="0096515E"/>
    <w:rsid w:val="0096527D"/>
    <w:rsid w:val="0096563A"/>
    <w:rsid w:val="00965673"/>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AF"/>
    <w:rsid w:val="00997C86"/>
    <w:rsid w:val="009A021C"/>
    <w:rsid w:val="009A041B"/>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60E"/>
    <w:rsid w:val="00A91EDC"/>
    <w:rsid w:val="00A923AB"/>
    <w:rsid w:val="00A9259E"/>
    <w:rsid w:val="00A92929"/>
    <w:rsid w:val="00A931F3"/>
    <w:rsid w:val="00A93529"/>
    <w:rsid w:val="00A93698"/>
    <w:rsid w:val="00A9395B"/>
    <w:rsid w:val="00A93DDB"/>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6308"/>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6E57"/>
    <w:rsid w:val="00AC7011"/>
    <w:rsid w:val="00AC7188"/>
    <w:rsid w:val="00AC7862"/>
    <w:rsid w:val="00AD009B"/>
    <w:rsid w:val="00AD0131"/>
    <w:rsid w:val="00AD058F"/>
    <w:rsid w:val="00AD0ABF"/>
    <w:rsid w:val="00AD0BC7"/>
    <w:rsid w:val="00AD17BD"/>
    <w:rsid w:val="00AD194C"/>
    <w:rsid w:val="00AD19F4"/>
    <w:rsid w:val="00AD224F"/>
    <w:rsid w:val="00AD2333"/>
    <w:rsid w:val="00AD23A7"/>
    <w:rsid w:val="00AD2C3E"/>
    <w:rsid w:val="00AD316E"/>
    <w:rsid w:val="00AD3246"/>
    <w:rsid w:val="00AD3279"/>
    <w:rsid w:val="00AD397A"/>
    <w:rsid w:val="00AD3EF9"/>
    <w:rsid w:val="00AD4364"/>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8FF"/>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2AC"/>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7BD"/>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3A5"/>
    <w:rsid w:val="00C91FA5"/>
    <w:rsid w:val="00C91FCB"/>
    <w:rsid w:val="00C92074"/>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5F05"/>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3E5"/>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7501"/>
    <w:rsid w:val="00CF0281"/>
    <w:rsid w:val="00CF070D"/>
    <w:rsid w:val="00CF0730"/>
    <w:rsid w:val="00CF085E"/>
    <w:rsid w:val="00CF0C98"/>
    <w:rsid w:val="00CF17C9"/>
    <w:rsid w:val="00CF1CE7"/>
    <w:rsid w:val="00CF243E"/>
    <w:rsid w:val="00CF28AB"/>
    <w:rsid w:val="00CF372D"/>
    <w:rsid w:val="00CF397A"/>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B46"/>
    <w:rsid w:val="00CF70A9"/>
    <w:rsid w:val="00CF75DC"/>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A1C"/>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EEA"/>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17B"/>
    <w:rsid w:val="00E22510"/>
    <w:rsid w:val="00E22686"/>
    <w:rsid w:val="00E228D9"/>
    <w:rsid w:val="00E22C7B"/>
    <w:rsid w:val="00E232AF"/>
    <w:rsid w:val="00E2390C"/>
    <w:rsid w:val="00E2445E"/>
    <w:rsid w:val="00E2455C"/>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489"/>
    <w:rsid w:val="00F327AC"/>
    <w:rsid w:val="00F32C81"/>
    <w:rsid w:val="00F32F13"/>
    <w:rsid w:val="00F33952"/>
    <w:rsid w:val="00F33B61"/>
    <w:rsid w:val="00F33E50"/>
    <w:rsid w:val="00F33EF5"/>
    <w:rsid w:val="00F33EF8"/>
    <w:rsid w:val="00F341FA"/>
    <w:rsid w:val="00F3452A"/>
    <w:rsid w:val="00F34A4B"/>
    <w:rsid w:val="00F356B1"/>
    <w:rsid w:val="00F35A97"/>
    <w:rsid w:val="00F35C8B"/>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B5"/>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56F"/>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730887383">
          <w:marLeft w:val="0"/>
          <w:marRight w:val="0"/>
          <w:marTop w:val="0"/>
          <w:marBottom w:val="0"/>
          <w:divBdr>
            <w:top w:val="none" w:sz="0" w:space="0" w:color="auto"/>
            <w:left w:val="none" w:sz="0" w:space="0" w:color="auto"/>
            <w:bottom w:val="none" w:sz="0" w:space="0" w:color="auto"/>
            <w:right w:val="none" w:sz="0" w:space="0" w:color="auto"/>
          </w:divBdr>
          <w:divsChild>
            <w:div w:id="2145586395">
              <w:marLeft w:val="0"/>
              <w:marRight w:val="0"/>
              <w:marTop w:val="0"/>
              <w:marBottom w:val="0"/>
              <w:divBdr>
                <w:top w:val="none" w:sz="0" w:space="0" w:color="auto"/>
                <w:left w:val="none" w:sz="0" w:space="0" w:color="auto"/>
                <w:bottom w:val="none" w:sz="0" w:space="0" w:color="auto"/>
                <w:right w:val="none" w:sz="0" w:space="0" w:color="auto"/>
              </w:divBdr>
              <w:divsChild>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 w:id="2030640313">
          <w:marLeft w:val="0"/>
          <w:marRight w:val="0"/>
          <w:marTop w:val="0"/>
          <w:marBottom w:val="0"/>
          <w:divBdr>
            <w:top w:val="none" w:sz="0" w:space="0" w:color="auto"/>
            <w:left w:val="none" w:sz="0" w:space="0" w:color="auto"/>
            <w:bottom w:val="none" w:sz="0" w:space="0" w:color="auto"/>
            <w:right w:val="none" w:sz="0" w:space="0" w:color="auto"/>
          </w:divBdr>
          <w:divsChild>
            <w:div w:id="739786673">
              <w:marLeft w:val="0"/>
              <w:marRight w:val="0"/>
              <w:marTop w:val="0"/>
              <w:marBottom w:val="0"/>
              <w:divBdr>
                <w:top w:val="none" w:sz="0" w:space="0" w:color="auto"/>
                <w:left w:val="none" w:sz="0" w:space="0" w:color="auto"/>
                <w:bottom w:val="none" w:sz="0" w:space="0" w:color="auto"/>
                <w:right w:val="none" w:sz="0" w:space="0" w:color="auto"/>
              </w:divBdr>
              <w:divsChild>
                <w:div w:id="782112861">
                  <w:marLeft w:val="0"/>
                  <w:marRight w:val="0"/>
                  <w:marTop w:val="0"/>
                  <w:marBottom w:val="0"/>
                  <w:divBdr>
                    <w:top w:val="none" w:sz="0" w:space="0" w:color="auto"/>
                    <w:left w:val="none" w:sz="0" w:space="0" w:color="auto"/>
                    <w:bottom w:val="none" w:sz="0" w:space="0" w:color="auto"/>
                    <w:right w:val="none" w:sz="0" w:space="0" w:color="auto"/>
                  </w:divBdr>
                  <w:divsChild>
                    <w:div w:id="2039888668">
                      <w:marLeft w:val="0"/>
                      <w:marRight w:val="0"/>
                      <w:marTop w:val="0"/>
                      <w:marBottom w:val="0"/>
                      <w:divBdr>
                        <w:top w:val="none" w:sz="0" w:space="0" w:color="auto"/>
                        <w:left w:val="none" w:sz="0" w:space="0" w:color="auto"/>
                        <w:bottom w:val="none" w:sz="0" w:space="0" w:color="auto"/>
                        <w:right w:val="none" w:sz="0" w:space="0" w:color="auto"/>
                      </w:divBdr>
                      <w:divsChild>
                        <w:div w:id="1763142085">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sChild>
                    <w:div w:id="197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sChild>
                            <w:div w:id="1962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92030715">
          <w:marLeft w:val="0"/>
          <w:marRight w:val="0"/>
          <w:marTop w:val="0"/>
          <w:marBottom w:val="0"/>
          <w:divBdr>
            <w:top w:val="none" w:sz="0" w:space="0" w:color="auto"/>
            <w:left w:val="none" w:sz="0" w:space="0" w:color="auto"/>
            <w:bottom w:val="none" w:sz="0" w:space="0" w:color="auto"/>
            <w:right w:val="none" w:sz="0" w:space="0" w:color="auto"/>
          </w:divBdr>
        </w:div>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1697653281">
          <w:marLeft w:val="0"/>
          <w:marRight w:val="0"/>
          <w:marTop w:val="0"/>
          <w:marBottom w:val="0"/>
          <w:divBdr>
            <w:top w:val="none" w:sz="0" w:space="0" w:color="auto"/>
            <w:left w:val="none" w:sz="0" w:space="0" w:color="auto"/>
            <w:bottom w:val="none" w:sz="0" w:space="0" w:color="auto"/>
            <w:right w:val="none" w:sz="0" w:space="0" w:color="auto"/>
          </w:divBdr>
        </w:div>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sChild>
                            <w:div w:id="19807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 w:id="1968004499">
          <w:marLeft w:val="0"/>
          <w:marRight w:val="0"/>
          <w:marTop w:val="30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1955208251">
          <w:marLeft w:val="0"/>
          <w:marRight w:val="0"/>
          <w:marTop w:val="0"/>
          <w:marBottom w:val="0"/>
          <w:divBdr>
            <w:top w:val="none" w:sz="0" w:space="0" w:color="auto"/>
            <w:left w:val="none" w:sz="0" w:space="0" w:color="auto"/>
            <w:bottom w:val="none" w:sz="0" w:space="0" w:color="auto"/>
            <w:right w:val="none" w:sz="0" w:space="0" w:color="auto"/>
          </w:divBdr>
          <w:divsChild>
            <w:div w:id="2098675236">
              <w:marLeft w:val="0"/>
              <w:marRight w:val="0"/>
              <w:marTop w:val="0"/>
              <w:marBottom w:val="0"/>
              <w:divBdr>
                <w:top w:val="none" w:sz="0" w:space="0" w:color="auto"/>
                <w:left w:val="none" w:sz="0" w:space="0" w:color="auto"/>
                <w:bottom w:val="none" w:sz="0" w:space="0" w:color="auto"/>
                <w:right w:val="none" w:sz="0" w:space="0" w:color="auto"/>
              </w:divBdr>
            </w:div>
          </w:divsChild>
        </w:div>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sChild>
                <w:div w:id="1988895399">
                  <w:marLeft w:val="0"/>
                  <w:marRight w:val="0"/>
                  <w:marTop w:val="0"/>
                  <w:marBottom w:val="0"/>
                  <w:divBdr>
                    <w:top w:val="none" w:sz="0" w:space="0" w:color="auto"/>
                    <w:left w:val="none" w:sz="0" w:space="0" w:color="auto"/>
                    <w:bottom w:val="none" w:sz="0" w:space="0" w:color="auto"/>
                    <w:right w:val="none" w:sz="0" w:space="0" w:color="auto"/>
                  </w:divBdr>
                  <w:divsChild>
                    <w:div w:id="17511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sChild>
                <w:div w:id="2016415999">
                  <w:marLeft w:val="0"/>
                  <w:marRight w:val="0"/>
                  <w:marTop w:val="0"/>
                  <w:marBottom w:val="0"/>
                  <w:divBdr>
                    <w:top w:val="none" w:sz="0" w:space="0" w:color="auto"/>
                    <w:left w:val="none" w:sz="0" w:space="0" w:color="auto"/>
                    <w:bottom w:val="none" w:sz="0" w:space="0" w:color="auto"/>
                    <w:right w:val="none" w:sz="0" w:space="0" w:color="auto"/>
                  </w:divBdr>
                  <w:divsChild>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1827166803">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2586">
          <w:marLeft w:val="0"/>
          <w:marRight w:val="0"/>
          <w:marTop w:val="0"/>
          <w:marBottom w:val="0"/>
          <w:divBdr>
            <w:top w:val="none" w:sz="0" w:space="0" w:color="auto"/>
            <w:left w:val="none" w:sz="0" w:space="0" w:color="auto"/>
            <w:bottom w:val="none" w:sz="0" w:space="0" w:color="auto"/>
            <w:right w:val="none" w:sz="0" w:space="0" w:color="auto"/>
          </w:divBdr>
        </w:div>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 w:id="20326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sChild>
                    <w:div w:id="20524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sChild>
                            <w:div w:id="21033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2090954521">
          <w:marLeft w:val="0"/>
          <w:marRight w:val="0"/>
          <w:marTop w:val="0"/>
          <w:marBottom w:val="0"/>
          <w:divBdr>
            <w:top w:val="none" w:sz="0" w:space="0" w:color="auto"/>
            <w:left w:val="none" w:sz="0" w:space="0" w:color="auto"/>
            <w:bottom w:val="none" w:sz="0" w:space="0" w:color="auto"/>
            <w:right w:val="none" w:sz="0" w:space="0" w:color="auto"/>
          </w:divBdr>
          <w:divsChild>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sChild>
                <w:div w:id="1988784124">
                  <w:marLeft w:val="0"/>
                  <w:marRight w:val="0"/>
                  <w:marTop w:val="0"/>
                  <w:marBottom w:val="0"/>
                  <w:divBdr>
                    <w:top w:val="none" w:sz="0" w:space="0" w:color="auto"/>
                    <w:left w:val="none" w:sz="0" w:space="0" w:color="auto"/>
                    <w:bottom w:val="none" w:sz="0" w:space="0" w:color="auto"/>
                    <w:right w:val="none" w:sz="0" w:space="0" w:color="auto"/>
                  </w:divBdr>
                  <w:divsChild>
                    <w:div w:id="1982803120">
                      <w:marLeft w:val="0"/>
                      <w:marRight w:val="0"/>
                      <w:marTop w:val="0"/>
                      <w:marBottom w:val="0"/>
                      <w:divBdr>
                        <w:top w:val="none" w:sz="0" w:space="0" w:color="auto"/>
                        <w:left w:val="none" w:sz="0" w:space="0" w:color="auto"/>
                        <w:bottom w:val="none" w:sz="0" w:space="0" w:color="auto"/>
                        <w:right w:val="none" w:sz="0" w:space="0" w:color="auto"/>
                      </w:divBdr>
                      <w:divsChild>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sChild>
                    <w:div w:id="1972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sChild>
                    <w:div w:id="2114588918">
                      <w:marLeft w:val="0"/>
                      <w:marRight w:val="0"/>
                      <w:marTop w:val="0"/>
                      <w:marBottom w:val="0"/>
                      <w:divBdr>
                        <w:top w:val="none" w:sz="0" w:space="0" w:color="auto"/>
                        <w:left w:val="none" w:sz="0" w:space="0" w:color="auto"/>
                        <w:bottom w:val="none" w:sz="0" w:space="0" w:color="auto"/>
                        <w:right w:val="none" w:sz="0" w:space="0" w:color="auto"/>
                      </w:divBdr>
                      <w:divsChild>
                        <w:div w:id="626857605">
                          <w:marLeft w:val="0"/>
                          <w:marRight w:val="0"/>
                          <w:marTop w:val="0"/>
                          <w:marBottom w:val="0"/>
                          <w:divBdr>
                            <w:top w:val="none" w:sz="0" w:space="0" w:color="auto"/>
                            <w:left w:val="none" w:sz="0" w:space="0" w:color="auto"/>
                            <w:bottom w:val="none" w:sz="0" w:space="0" w:color="auto"/>
                            <w:right w:val="none" w:sz="0" w:space="0" w:color="auto"/>
                          </w:divBdr>
                          <w:divsChild>
                            <w:div w:id="1993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sChild>
                        <w:div w:id="1983147953">
                          <w:marLeft w:val="0"/>
                          <w:marRight w:val="0"/>
                          <w:marTop w:val="0"/>
                          <w:marBottom w:val="0"/>
                          <w:divBdr>
                            <w:top w:val="none" w:sz="0" w:space="0" w:color="auto"/>
                            <w:left w:val="none" w:sz="0" w:space="0" w:color="auto"/>
                            <w:bottom w:val="none" w:sz="0" w:space="0" w:color="auto"/>
                            <w:right w:val="none" w:sz="0" w:space="0" w:color="auto"/>
                          </w:divBdr>
                          <w:divsChild>
                            <w:div w:id="16779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sChild>
                        <w:div w:id="2010134306">
                          <w:marLeft w:val="0"/>
                          <w:marRight w:val="0"/>
                          <w:marTop w:val="0"/>
                          <w:marBottom w:val="0"/>
                          <w:divBdr>
                            <w:top w:val="none" w:sz="0" w:space="0" w:color="auto"/>
                            <w:left w:val="none" w:sz="0" w:space="0" w:color="auto"/>
                            <w:bottom w:val="none" w:sz="0" w:space="0" w:color="auto"/>
                            <w:right w:val="none" w:sz="0" w:space="0" w:color="auto"/>
                          </w:divBdr>
                          <w:divsChild>
                            <w:div w:id="205233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2044557598">
          <w:marLeft w:val="0"/>
          <w:marRight w:val="0"/>
          <w:marTop w:val="0"/>
          <w:marBottom w:val="0"/>
          <w:divBdr>
            <w:top w:val="none" w:sz="0" w:space="0" w:color="auto"/>
            <w:left w:val="none" w:sz="0" w:space="0" w:color="auto"/>
            <w:bottom w:val="none" w:sz="0" w:space="0" w:color="auto"/>
            <w:right w:val="none" w:sz="0" w:space="0" w:color="auto"/>
          </w:divBdr>
          <w:divsChild>
            <w:div w:id="1044334233">
              <w:marLeft w:val="0"/>
              <w:marRight w:val="0"/>
              <w:marTop w:val="0"/>
              <w:marBottom w:val="0"/>
              <w:divBdr>
                <w:top w:val="none" w:sz="0" w:space="0" w:color="auto"/>
                <w:left w:val="none" w:sz="0" w:space="0" w:color="auto"/>
                <w:bottom w:val="none" w:sz="0" w:space="0" w:color="auto"/>
                <w:right w:val="none" w:sz="0" w:space="0" w:color="auto"/>
              </w:divBdr>
              <w:divsChild>
                <w:div w:id="2039623788">
                  <w:marLeft w:val="0"/>
                  <w:marRight w:val="0"/>
                  <w:marTop w:val="0"/>
                  <w:marBottom w:val="0"/>
                  <w:divBdr>
                    <w:top w:val="none" w:sz="0" w:space="0" w:color="auto"/>
                    <w:left w:val="none" w:sz="0" w:space="0" w:color="auto"/>
                    <w:bottom w:val="none" w:sz="0" w:space="0" w:color="auto"/>
                    <w:right w:val="none" w:sz="0" w:space="0" w:color="auto"/>
                  </w:divBdr>
                  <w:divsChild>
                    <w:div w:id="737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sChild>
                <w:div w:id="2061779478">
                  <w:marLeft w:val="0"/>
                  <w:marRight w:val="0"/>
                  <w:marTop w:val="0"/>
                  <w:marBottom w:val="0"/>
                  <w:divBdr>
                    <w:top w:val="none" w:sz="0" w:space="0" w:color="auto"/>
                    <w:left w:val="none" w:sz="0" w:space="0" w:color="auto"/>
                    <w:bottom w:val="none" w:sz="0" w:space="0" w:color="auto"/>
                    <w:right w:val="none" w:sz="0" w:space="0" w:color="auto"/>
                  </w:divBdr>
                  <w:divsChild>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sChild>
            <w:div w:id="2113936522">
              <w:marLeft w:val="0"/>
              <w:marRight w:val="0"/>
              <w:marTop w:val="0"/>
              <w:marBottom w:val="0"/>
              <w:divBdr>
                <w:top w:val="none" w:sz="0" w:space="0" w:color="auto"/>
                <w:left w:val="none" w:sz="0" w:space="0" w:color="auto"/>
                <w:bottom w:val="none" w:sz="0" w:space="0" w:color="auto"/>
                <w:right w:val="none" w:sz="0" w:space="0" w:color="auto"/>
              </w:divBdr>
              <w:divsChild>
                <w:div w:id="1998915888">
                  <w:marLeft w:val="0"/>
                  <w:marRight w:val="0"/>
                  <w:marTop w:val="0"/>
                  <w:marBottom w:val="0"/>
                  <w:divBdr>
                    <w:top w:val="none" w:sz="0" w:space="0" w:color="auto"/>
                    <w:left w:val="none" w:sz="0" w:space="0" w:color="auto"/>
                    <w:bottom w:val="none" w:sz="0" w:space="0" w:color="auto"/>
                    <w:right w:val="none" w:sz="0" w:space="0" w:color="auto"/>
                  </w:divBdr>
                  <w:divsChild>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 w:id="2068725691">
          <w:marLeft w:val="0"/>
          <w:marRight w:val="0"/>
          <w:marTop w:val="30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570076322">
                          <w:marLeft w:val="0"/>
                          <w:marRight w:val="0"/>
                          <w:marTop w:val="0"/>
                          <w:marBottom w:val="0"/>
                          <w:divBdr>
                            <w:top w:val="none" w:sz="0" w:space="0" w:color="auto"/>
                            <w:left w:val="none" w:sz="0" w:space="0" w:color="auto"/>
                            <w:bottom w:val="none" w:sz="0" w:space="0" w:color="auto"/>
                            <w:right w:val="none" w:sz="0" w:space="0" w:color="auto"/>
                          </w:divBdr>
                        </w:div>
                        <w:div w:id="14179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 w:id="1160317709">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sChild>
                <w:div w:id="1979338607">
                  <w:marLeft w:val="0"/>
                  <w:marRight w:val="0"/>
                  <w:marTop w:val="0"/>
                  <w:marBottom w:val="0"/>
                  <w:divBdr>
                    <w:top w:val="none" w:sz="0" w:space="0" w:color="auto"/>
                    <w:left w:val="none" w:sz="0" w:space="0" w:color="auto"/>
                    <w:bottom w:val="none" w:sz="0" w:space="0" w:color="auto"/>
                    <w:right w:val="none" w:sz="0" w:space="0" w:color="auto"/>
                  </w:divBdr>
                  <w:divsChild>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sChild>
                    <w:div w:id="1962225966">
                      <w:marLeft w:val="0"/>
                      <w:marRight w:val="0"/>
                      <w:marTop w:val="0"/>
                      <w:marBottom w:val="0"/>
                      <w:divBdr>
                        <w:top w:val="none" w:sz="0" w:space="0" w:color="auto"/>
                        <w:left w:val="none" w:sz="0" w:space="0" w:color="auto"/>
                        <w:bottom w:val="none" w:sz="0" w:space="0" w:color="auto"/>
                        <w:right w:val="none" w:sz="0" w:space="0" w:color="auto"/>
                      </w:divBdr>
                      <w:divsChild>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1909877865">
          <w:marLeft w:val="0"/>
          <w:marRight w:val="0"/>
          <w:marTop w:val="0"/>
          <w:marBottom w:val="0"/>
          <w:divBdr>
            <w:top w:val="none" w:sz="0" w:space="0" w:color="auto"/>
            <w:left w:val="none" w:sz="0" w:space="0" w:color="auto"/>
            <w:bottom w:val="none" w:sz="0" w:space="0" w:color="auto"/>
            <w:right w:val="none" w:sz="0" w:space="0" w:color="auto"/>
          </w:divBdr>
        </w:div>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1128470205">
          <w:marLeft w:val="0"/>
          <w:marRight w:val="0"/>
          <w:marTop w:val="0"/>
          <w:marBottom w:val="0"/>
          <w:divBdr>
            <w:top w:val="none" w:sz="0" w:space="0" w:color="auto"/>
            <w:left w:val="none" w:sz="0" w:space="0" w:color="auto"/>
            <w:bottom w:val="none" w:sz="0" w:space="0" w:color="auto"/>
            <w:right w:val="none" w:sz="0" w:space="0" w:color="auto"/>
          </w:divBdr>
        </w:div>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sChild>
                        <w:div w:id="2005015029">
                          <w:marLeft w:val="0"/>
                          <w:marRight w:val="0"/>
                          <w:marTop w:val="0"/>
                          <w:marBottom w:val="0"/>
                          <w:divBdr>
                            <w:top w:val="none" w:sz="0" w:space="0" w:color="auto"/>
                            <w:left w:val="none" w:sz="0" w:space="0" w:color="auto"/>
                            <w:bottom w:val="none" w:sz="0" w:space="0" w:color="auto"/>
                            <w:right w:val="none" w:sz="0" w:space="0" w:color="auto"/>
                          </w:divBdr>
                          <w:divsChild>
                            <w:div w:id="896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2006738258">
          <w:marLeft w:val="0"/>
          <w:marRight w:val="0"/>
          <w:marTop w:val="0"/>
          <w:marBottom w:val="0"/>
          <w:divBdr>
            <w:top w:val="none" w:sz="0" w:space="0" w:color="auto"/>
            <w:left w:val="none" w:sz="0" w:space="0" w:color="auto"/>
            <w:bottom w:val="none" w:sz="0" w:space="0" w:color="auto"/>
            <w:right w:val="none" w:sz="0" w:space="0" w:color="auto"/>
          </w:divBdr>
          <w:divsChild>
            <w:div w:id="2090535356">
              <w:marLeft w:val="0"/>
              <w:marRight w:val="0"/>
              <w:marTop w:val="0"/>
              <w:marBottom w:val="0"/>
              <w:divBdr>
                <w:top w:val="none" w:sz="0" w:space="0" w:color="auto"/>
                <w:left w:val="none" w:sz="0" w:space="0" w:color="auto"/>
                <w:bottom w:val="none" w:sz="0" w:space="0" w:color="auto"/>
                <w:right w:val="none" w:sz="0" w:space="0" w:color="auto"/>
              </w:divBdr>
            </w:div>
          </w:divsChild>
        </w:div>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02456303">
          <w:marLeft w:val="0"/>
          <w:marRight w:val="0"/>
          <w:marTop w:val="0"/>
          <w:marBottom w:val="0"/>
          <w:divBdr>
            <w:top w:val="none" w:sz="0" w:space="0" w:color="auto"/>
            <w:left w:val="none" w:sz="0" w:space="0" w:color="auto"/>
            <w:bottom w:val="none" w:sz="0" w:space="0" w:color="auto"/>
            <w:right w:val="none" w:sz="0" w:space="0" w:color="auto"/>
          </w:divBdr>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sChild>
                <w:div w:id="2131236873">
                  <w:marLeft w:val="0"/>
                  <w:marRight w:val="0"/>
                  <w:marTop w:val="0"/>
                  <w:marBottom w:val="0"/>
                  <w:divBdr>
                    <w:top w:val="none" w:sz="0" w:space="0" w:color="auto"/>
                    <w:left w:val="none" w:sz="0" w:space="0" w:color="auto"/>
                    <w:bottom w:val="none" w:sz="0" w:space="0" w:color="auto"/>
                    <w:right w:val="none" w:sz="0" w:space="0" w:color="auto"/>
                  </w:divBdr>
                  <w:divsChild>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sChild>
                        <w:div w:id="2143769241">
                          <w:marLeft w:val="0"/>
                          <w:marRight w:val="0"/>
                          <w:marTop w:val="0"/>
                          <w:marBottom w:val="0"/>
                          <w:divBdr>
                            <w:top w:val="none" w:sz="0" w:space="0" w:color="auto"/>
                            <w:left w:val="none" w:sz="0" w:space="0" w:color="auto"/>
                            <w:bottom w:val="none" w:sz="0" w:space="0" w:color="auto"/>
                            <w:right w:val="none" w:sz="0" w:space="0" w:color="auto"/>
                          </w:divBdr>
                          <w:divsChild>
                            <w:div w:id="1854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1130319616">
          <w:marLeft w:val="0"/>
          <w:marRight w:val="0"/>
          <w:marTop w:val="0"/>
          <w:marBottom w:val="0"/>
          <w:divBdr>
            <w:top w:val="none" w:sz="0" w:space="0" w:color="auto"/>
            <w:left w:val="none" w:sz="0" w:space="0" w:color="auto"/>
            <w:bottom w:val="none" w:sz="0" w:space="0" w:color="auto"/>
            <w:right w:val="none" w:sz="0" w:space="0" w:color="auto"/>
          </w:divBdr>
        </w:div>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779642261">
          <w:marLeft w:val="0"/>
          <w:marRight w:val="0"/>
          <w:marTop w:val="0"/>
          <w:marBottom w:val="0"/>
          <w:divBdr>
            <w:top w:val="none" w:sz="0" w:space="0" w:color="auto"/>
            <w:left w:val="none" w:sz="0" w:space="0" w:color="auto"/>
            <w:bottom w:val="none" w:sz="0" w:space="0" w:color="auto"/>
            <w:right w:val="none" w:sz="0" w:space="0" w:color="auto"/>
          </w:divBdr>
        </w:div>
        <w:div w:id="1271547712">
          <w:marLeft w:val="0"/>
          <w:marRight w:val="0"/>
          <w:marTop w:val="30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883521284">
          <w:marLeft w:val="0"/>
          <w:marRight w:val="0"/>
          <w:marTop w:val="0"/>
          <w:marBottom w:val="0"/>
          <w:divBdr>
            <w:top w:val="none" w:sz="0" w:space="0" w:color="auto"/>
            <w:left w:val="none" w:sz="0" w:space="0" w:color="auto"/>
            <w:bottom w:val="none" w:sz="0" w:space="0" w:color="auto"/>
            <w:right w:val="none" w:sz="0" w:space="0" w:color="auto"/>
          </w:divBdr>
        </w:div>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950315338">
          <w:marLeft w:val="0"/>
          <w:marRight w:val="0"/>
          <w:marTop w:val="0"/>
          <w:marBottom w:val="0"/>
          <w:divBdr>
            <w:top w:val="none" w:sz="0" w:space="0" w:color="auto"/>
            <w:left w:val="none" w:sz="0" w:space="0" w:color="auto"/>
            <w:bottom w:val="none" w:sz="0" w:space="0" w:color="auto"/>
            <w:right w:val="none" w:sz="0" w:space="0" w:color="auto"/>
          </w:divBdr>
        </w:div>
        <w:div w:id="1425765748">
          <w:marLeft w:val="0"/>
          <w:marRight w:val="0"/>
          <w:marTop w:val="30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470904349">
          <w:marLeft w:val="0"/>
          <w:marRight w:val="0"/>
          <w:marTop w:val="0"/>
          <w:marBottom w:val="0"/>
          <w:divBdr>
            <w:top w:val="none" w:sz="0" w:space="0" w:color="auto"/>
            <w:left w:val="none" w:sz="0" w:space="0" w:color="auto"/>
            <w:bottom w:val="none" w:sz="0" w:space="0" w:color="auto"/>
            <w:right w:val="none" w:sz="0" w:space="0" w:color="auto"/>
          </w:divBdr>
        </w:div>
        <w:div w:id="1333026770">
          <w:marLeft w:val="0"/>
          <w:marRight w:val="0"/>
          <w:marTop w:val="30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1992055478">
          <w:marLeft w:val="0"/>
          <w:marRight w:val="0"/>
          <w:marTop w:val="0"/>
          <w:marBottom w:val="0"/>
          <w:divBdr>
            <w:top w:val="none" w:sz="0" w:space="0" w:color="auto"/>
            <w:left w:val="none" w:sz="0" w:space="0" w:color="auto"/>
            <w:bottom w:val="none" w:sz="0" w:space="0" w:color="auto"/>
            <w:right w:val="none" w:sz="0" w:space="0" w:color="auto"/>
          </w:divBdr>
          <w:divsChild>
            <w:div w:id="62487750">
              <w:marLeft w:val="0"/>
              <w:marRight w:val="0"/>
              <w:marTop w:val="0"/>
              <w:marBottom w:val="0"/>
              <w:divBdr>
                <w:top w:val="none" w:sz="0" w:space="0" w:color="auto"/>
                <w:left w:val="none" w:sz="0" w:space="0" w:color="auto"/>
                <w:bottom w:val="none" w:sz="0" w:space="0" w:color="auto"/>
                <w:right w:val="none" w:sz="0" w:space="0" w:color="auto"/>
              </w:divBdr>
            </w:div>
          </w:divsChild>
        </w:div>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958611667">
          <w:marLeft w:val="0"/>
          <w:marRight w:val="0"/>
          <w:marTop w:val="0"/>
          <w:marBottom w:val="0"/>
          <w:divBdr>
            <w:top w:val="none" w:sz="0" w:space="0" w:color="auto"/>
            <w:left w:val="none" w:sz="0" w:space="0" w:color="auto"/>
            <w:bottom w:val="none" w:sz="0" w:space="0" w:color="auto"/>
            <w:right w:val="none" w:sz="0" w:space="0" w:color="auto"/>
          </w:divBdr>
        </w:div>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3434">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894003983">
          <w:marLeft w:val="0"/>
          <w:marRight w:val="0"/>
          <w:marTop w:val="0"/>
          <w:marBottom w:val="0"/>
          <w:divBdr>
            <w:top w:val="none" w:sz="0" w:space="0" w:color="auto"/>
            <w:left w:val="none" w:sz="0" w:space="0" w:color="auto"/>
            <w:bottom w:val="none" w:sz="0" w:space="0" w:color="auto"/>
            <w:right w:val="none" w:sz="0" w:space="0" w:color="auto"/>
          </w:divBdr>
        </w:div>
        <w:div w:id="1501652362">
          <w:marLeft w:val="0"/>
          <w:marRight w:val="0"/>
          <w:marTop w:val="30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1547065735">
          <w:marLeft w:val="0"/>
          <w:marRight w:val="0"/>
          <w:marTop w:val="0"/>
          <w:marBottom w:val="0"/>
          <w:divBdr>
            <w:top w:val="none" w:sz="0" w:space="0" w:color="auto"/>
            <w:left w:val="none" w:sz="0" w:space="0" w:color="auto"/>
            <w:bottom w:val="none" w:sz="0" w:space="0" w:color="auto"/>
            <w:right w:val="none" w:sz="0" w:space="0" w:color="auto"/>
          </w:divBdr>
        </w:div>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 w:id="179855908">
          <w:marLeft w:val="0"/>
          <w:marRight w:val="0"/>
          <w:marTop w:val="30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4292">
          <w:marLeft w:val="0"/>
          <w:marRight w:val="0"/>
          <w:marTop w:val="0"/>
          <w:marBottom w:val="0"/>
          <w:divBdr>
            <w:top w:val="none" w:sz="0" w:space="0" w:color="auto"/>
            <w:left w:val="none" w:sz="0" w:space="0" w:color="auto"/>
            <w:bottom w:val="none" w:sz="0" w:space="0" w:color="auto"/>
            <w:right w:val="none" w:sz="0" w:space="0" w:color="auto"/>
          </w:divBdr>
          <w:divsChild>
            <w:div w:id="1960335350">
              <w:marLeft w:val="0"/>
              <w:marRight w:val="0"/>
              <w:marTop w:val="0"/>
              <w:marBottom w:val="0"/>
              <w:divBdr>
                <w:top w:val="none" w:sz="0" w:space="0" w:color="auto"/>
                <w:left w:val="none" w:sz="0" w:space="0" w:color="auto"/>
                <w:bottom w:val="none" w:sz="0" w:space="0" w:color="auto"/>
                <w:right w:val="none" w:sz="0" w:space="0" w:color="auto"/>
              </w:divBdr>
              <w:divsChild>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437821132">
          <w:marLeft w:val="0"/>
          <w:marRight w:val="0"/>
          <w:marTop w:val="0"/>
          <w:marBottom w:val="0"/>
          <w:divBdr>
            <w:top w:val="none" w:sz="0" w:space="0" w:color="auto"/>
            <w:left w:val="none" w:sz="0" w:space="0" w:color="auto"/>
            <w:bottom w:val="none" w:sz="0" w:space="0" w:color="auto"/>
            <w:right w:val="none" w:sz="0" w:space="0" w:color="auto"/>
          </w:divBdr>
        </w:div>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 w:id="649795139">
          <w:marLeft w:val="0"/>
          <w:marRight w:val="0"/>
          <w:marTop w:val="0"/>
          <w:marBottom w:val="0"/>
          <w:divBdr>
            <w:top w:val="none" w:sz="0" w:space="0" w:color="auto"/>
            <w:left w:val="none" w:sz="0" w:space="0" w:color="auto"/>
            <w:bottom w:val="none" w:sz="0" w:space="0" w:color="auto"/>
            <w:right w:val="none" w:sz="0" w:space="0" w:color="auto"/>
          </w:divBdr>
        </w:div>
        <w:div w:id="288707207">
          <w:marLeft w:val="0"/>
          <w:marRight w:val="0"/>
          <w:marTop w:val="30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sChild>
        <w:div w:id="2137678270">
          <w:marLeft w:val="0"/>
          <w:marRight w:val="0"/>
          <w:marTop w:val="0"/>
          <w:marBottom w:val="0"/>
          <w:divBdr>
            <w:top w:val="none" w:sz="0" w:space="0" w:color="auto"/>
            <w:left w:val="none" w:sz="0" w:space="0" w:color="auto"/>
            <w:bottom w:val="none" w:sz="0" w:space="0" w:color="auto"/>
            <w:right w:val="none" w:sz="0" w:space="0" w:color="auto"/>
          </w:divBdr>
          <w:divsChild>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sChild>
                    <w:div w:id="2077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770">
          <w:marLeft w:val="0"/>
          <w:marRight w:val="0"/>
          <w:marTop w:val="0"/>
          <w:marBottom w:val="0"/>
          <w:divBdr>
            <w:top w:val="none" w:sz="0" w:space="0" w:color="auto"/>
            <w:left w:val="none" w:sz="0" w:space="0" w:color="auto"/>
            <w:bottom w:val="none" w:sz="0" w:space="0" w:color="auto"/>
            <w:right w:val="none" w:sz="0" w:space="0" w:color="auto"/>
          </w:divBdr>
          <w:divsChild>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sChild>
        <w:div w:id="2136672687">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1197230965">
          <w:marLeft w:val="0"/>
          <w:marRight w:val="0"/>
          <w:marTop w:val="0"/>
          <w:marBottom w:val="0"/>
          <w:divBdr>
            <w:top w:val="none" w:sz="0" w:space="0" w:color="auto"/>
            <w:left w:val="none" w:sz="0" w:space="0" w:color="auto"/>
            <w:bottom w:val="none" w:sz="0" w:space="0" w:color="auto"/>
            <w:right w:val="none" w:sz="0" w:space="0" w:color="auto"/>
          </w:divBdr>
        </w:div>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sChild>
            <w:div w:id="2130198725">
              <w:marLeft w:val="0"/>
              <w:marRight w:val="0"/>
              <w:marTop w:val="0"/>
              <w:marBottom w:val="0"/>
              <w:divBdr>
                <w:top w:val="none" w:sz="0" w:space="0" w:color="auto"/>
                <w:left w:val="none" w:sz="0" w:space="0" w:color="auto"/>
                <w:bottom w:val="none" w:sz="0" w:space="0" w:color="auto"/>
                <w:right w:val="none" w:sz="0" w:space="0" w:color="auto"/>
              </w:divBdr>
              <w:divsChild>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sChild>
                    <w:div w:id="2092581232">
                      <w:marLeft w:val="0"/>
                      <w:marRight w:val="0"/>
                      <w:marTop w:val="0"/>
                      <w:marBottom w:val="0"/>
                      <w:divBdr>
                        <w:top w:val="none" w:sz="0" w:space="0" w:color="auto"/>
                        <w:left w:val="none" w:sz="0" w:space="0" w:color="auto"/>
                        <w:bottom w:val="none" w:sz="0" w:space="0" w:color="auto"/>
                        <w:right w:val="none" w:sz="0" w:space="0" w:color="auto"/>
                      </w:divBdr>
                      <w:divsChild>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905678995">
          <w:marLeft w:val="0"/>
          <w:marRight w:val="0"/>
          <w:marTop w:val="0"/>
          <w:marBottom w:val="0"/>
          <w:divBdr>
            <w:top w:val="none" w:sz="0" w:space="0" w:color="auto"/>
            <w:left w:val="none" w:sz="0" w:space="0" w:color="auto"/>
            <w:bottom w:val="none" w:sz="0" w:space="0" w:color="auto"/>
            <w:right w:val="none" w:sz="0" w:space="0" w:color="auto"/>
          </w:divBdr>
        </w:div>
        <w:div w:id="13660533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1550799806">
          <w:marLeft w:val="0"/>
          <w:marRight w:val="0"/>
          <w:marTop w:val="0"/>
          <w:marBottom w:val="0"/>
          <w:divBdr>
            <w:top w:val="none" w:sz="0" w:space="0" w:color="auto"/>
            <w:left w:val="none" w:sz="0" w:space="0" w:color="auto"/>
            <w:bottom w:val="none" w:sz="0" w:space="0" w:color="auto"/>
            <w:right w:val="none" w:sz="0" w:space="0" w:color="auto"/>
          </w:divBdr>
        </w:div>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sChild>
                <w:div w:id="2031102836">
                  <w:marLeft w:val="0"/>
                  <w:marRight w:val="0"/>
                  <w:marTop w:val="0"/>
                  <w:marBottom w:val="0"/>
                  <w:divBdr>
                    <w:top w:val="none" w:sz="0" w:space="0" w:color="auto"/>
                    <w:left w:val="none" w:sz="0" w:space="0" w:color="auto"/>
                    <w:bottom w:val="none" w:sz="0" w:space="0" w:color="auto"/>
                    <w:right w:val="none" w:sz="0" w:space="0" w:color="auto"/>
                  </w:divBdr>
                  <w:divsChild>
                    <w:div w:id="1651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sChild>
                            <w:div w:id="1996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sChild>
                <w:div w:id="2017684890">
                  <w:marLeft w:val="0"/>
                  <w:marRight w:val="0"/>
                  <w:marTop w:val="0"/>
                  <w:marBottom w:val="0"/>
                  <w:divBdr>
                    <w:top w:val="none" w:sz="0" w:space="0" w:color="auto"/>
                    <w:left w:val="none" w:sz="0" w:space="0" w:color="auto"/>
                    <w:bottom w:val="none" w:sz="0" w:space="0" w:color="auto"/>
                    <w:right w:val="none" w:sz="0" w:space="0" w:color="auto"/>
                  </w:divBdr>
                  <w:divsChild>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109815150">
          <w:marLeft w:val="0"/>
          <w:marRight w:val="0"/>
          <w:marTop w:val="0"/>
          <w:marBottom w:val="0"/>
          <w:divBdr>
            <w:top w:val="none" w:sz="0" w:space="0" w:color="auto"/>
            <w:left w:val="none" w:sz="0" w:space="0" w:color="auto"/>
            <w:bottom w:val="none" w:sz="0" w:space="0" w:color="auto"/>
            <w:right w:val="none" w:sz="0" w:space="0" w:color="auto"/>
          </w:divBdr>
        </w:div>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sChild>
            <w:div w:id="2082411869">
              <w:marLeft w:val="0"/>
              <w:marRight w:val="0"/>
              <w:marTop w:val="0"/>
              <w:marBottom w:val="0"/>
              <w:divBdr>
                <w:top w:val="none" w:sz="0" w:space="0" w:color="auto"/>
                <w:left w:val="none" w:sz="0" w:space="0" w:color="auto"/>
                <w:bottom w:val="none" w:sz="0" w:space="0" w:color="auto"/>
                <w:right w:val="none" w:sz="0" w:space="0" w:color="auto"/>
              </w:divBdr>
              <w:divsChild>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109">
          <w:marLeft w:val="0"/>
          <w:marRight w:val="0"/>
          <w:marTop w:val="0"/>
          <w:marBottom w:val="0"/>
          <w:divBdr>
            <w:top w:val="none" w:sz="0" w:space="0" w:color="auto"/>
            <w:left w:val="none" w:sz="0" w:space="0" w:color="auto"/>
            <w:bottom w:val="none" w:sz="0" w:space="0" w:color="auto"/>
            <w:right w:val="none" w:sz="0" w:space="0" w:color="auto"/>
          </w:divBdr>
          <w:divsChild>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 w:id="1980648674">
          <w:marLeft w:val="0"/>
          <w:marRight w:val="0"/>
          <w:marTop w:val="30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sChild>
                    <w:div w:id="20791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sChild>
                        <w:div w:id="2041978713">
                          <w:marLeft w:val="0"/>
                          <w:marRight w:val="0"/>
                          <w:marTop w:val="0"/>
                          <w:marBottom w:val="0"/>
                          <w:divBdr>
                            <w:top w:val="none" w:sz="0" w:space="0" w:color="auto"/>
                            <w:left w:val="none" w:sz="0" w:space="0" w:color="auto"/>
                            <w:bottom w:val="none" w:sz="0" w:space="0" w:color="auto"/>
                            <w:right w:val="none" w:sz="0" w:space="0" w:color="auto"/>
                          </w:divBdr>
                          <w:divsChild>
                            <w:div w:id="13652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3015">
          <w:marLeft w:val="0"/>
          <w:marRight w:val="0"/>
          <w:marTop w:val="0"/>
          <w:marBottom w:val="0"/>
          <w:divBdr>
            <w:top w:val="none" w:sz="0" w:space="0" w:color="auto"/>
            <w:left w:val="none" w:sz="0" w:space="0" w:color="auto"/>
            <w:bottom w:val="none" w:sz="0" w:space="0" w:color="auto"/>
            <w:right w:val="none" w:sz="0" w:space="0" w:color="auto"/>
          </w:divBdr>
          <w:divsChild>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2054647090">
          <w:marLeft w:val="0"/>
          <w:marRight w:val="0"/>
          <w:marTop w:val="0"/>
          <w:marBottom w:val="0"/>
          <w:divBdr>
            <w:top w:val="none" w:sz="0" w:space="0" w:color="auto"/>
            <w:left w:val="none" w:sz="0" w:space="0" w:color="auto"/>
            <w:bottom w:val="none" w:sz="0" w:space="0" w:color="auto"/>
            <w:right w:val="none" w:sz="0" w:space="0" w:color="auto"/>
          </w:divBdr>
          <w:divsChild>
            <w:div w:id="887374352">
              <w:marLeft w:val="0"/>
              <w:marRight w:val="0"/>
              <w:marTop w:val="0"/>
              <w:marBottom w:val="0"/>
              <w:divBdr>
                <w:top w:val="none" w:sz="0" w:space="0" w:color="auto"/>
                <w:left w:val="none" w:sz="0" w:space="0" w:color="auto"/>
                <w:bottom w:val="none" w:sz="0" w:space="0" w:color="auto"/>
                <w:right w:val="none" w:sz="0" w:space="0" w:color="auto"/>
              </w:divBdr>
            </w:div>
          </w:divsChild>
        </w:div>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2087529930">
          <w:marLeft w:val="0"/>
          <w:marRight w:val="0"/>
          <w:marTop w:val="0"/>
          <w:marBottom w:val="0"/>
          <w:divBdr>
            <w:top w:val="none" w:sz="0" w:space="0" w:color="auto"/>
            <w:left w:val="none" w:sz="0" w:space="0" w:color="auto"/>
            <w:bottom w:val="none" w:sz="0" w:space="0" w:color="auto"/>
            <w:right w:val="none" w:sz="0" w:space="0" w:color="auto"/>
          </w:divBdr>
          <w:divsChild>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625">
          <w:marLeft w:val="0"/>
          <w:marRight w:val="0"/>
          <w:marTop w:val="0"/>
          <w:marBottom w:val="0"/>
          <w:divBdr>
            <w:top w:val="none" w:sz="0" w:space="0" w:color="auto"/>
            <w:left w:val="none" w:sz="0" w:space="0" w:color="auto"/>
            <w:bottom w:val="none" w:sz="0" w:space="0" w:color="auto"/>
            <w:right w:val="none" w:sz="0" w:space="0" w:color="auto"/>
          </w:divBdr>
          <w:divsChild>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sChild>
                <w:div w:id="2057582633">
                  <w:marLeft w:val="0"/>
                  <w:marRight w:val="0"/>
                  <w:marTop w:val="0"/>
                  <w:marBottom w:val="0"/>
                  <w:divBdr>
                    <w:top w:val="none" w:sz="0" w:space="0" w:color="auto"/>
                    <w:left w:val="none" w:sz="0" w:space="0" w:color="auto"/>
                    <w:bottom w:val="none" w:sz="0" w:space="0" w:color="auto"/>
                    <w:right w:val="none" w:sz="0" w:space="0" w:color="auto"/>
                  </w:divBdr>
                  <w:divsChild>
                    <w:div w:id="85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sChild>
                        <w:div w:id="2021081828">
                          <w:marLeft w:val="0"/>
                          <w:marRight w:val="0"/>
                          <w:marTop w:val="0"/>
                          <w:marBottom w:val="0"/>
                          <w:divBdr>
                            <w:top w:val="none" w:sz="0" w:space="0" w:color="auto"/>
                            <w:left w:val="none" w:sz="0" w:space="0" w:color="auto"/>
                            <w:bottom w:val="none" w:sz="0" w:space="0" w:color="auto"/>
                            <w:right w:val="none" w:sz="0" w:space="0" w:color="auto"/>
                          </w:divBdr>
                          <w:divsChild>
                            <w:div w:id="488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sChild>
                <w:div w:id="2094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259">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907061722">
          <w:marLeft w:val="0"/>
          <w:marRight w:val="0"/>
          <w:marTop w:val="0"/>
          <w:marBottom w:val="0"/>
          <w:divBdr>
            <w:top w:val="none" w:sz="0" w:space="0" w:color="auto"/>
            <w:left w:val="none" w:sz="0" w:space="0" w:color="auto"/>
            <w:bottom w:val="none" w:sz="0" w:space="0" w:color="auto"/>
            <w:right w:val="none" w:sz="0" w:space="0" w:color="auto"/>
          </w:divBdr>
        </w:div>
        <w:div w:id="1287194872">
          <w:marLeft w:val="0"/>
          <w:marRight w:val="0"/>
          <w:marTop w:val="30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1967813601">
          <w:marLeft w:val="0"/>
          <w:marRight w:val="0"/>
          <w:marTop w:val="0"/>
          <w:marBottom w:val="0"/>
          <w:divBdr>
            <w:top w:val="none" w:sz="0" w:space="0" w:color="auto"/>
            <w:left w:val="none" w:sz="0" w:space="0" w:color="auto"/>
            <w:bottom w:val="none" w:sz="0" w:space="0" w:color="auto"/>
            <w:right w:val="none" w:sz="0" w:space="0" w:color="auto"/>
          </w:divBdr>
          <w:divsChild>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355812871">
          <w:marLeft w:val="0"/>
          <w:marRight w:val="0"/>
          <w:marTop w:val="0"/>
          <w:marBottom w:val="0"/>
          <w:divBdr>
            <w:top w:val="none" w:sz="0" w:space="0" w:color="auto"/>
            <w:left w:val="none" w:sz="0" w:space="0" w:color="auto"/>
            <w:bottom w:val="none" w:sz="0" w:space="0" w:color="auto"/>
            <w:right w:val="none" w:sz="0" w:space="0" w:color="auto"/>
          </w:divBdr>
        </w:div>
        <w:div w:id="112598963">
          <w:marLeft w:val="0"/>
          <w:marRight w:val="0"/>
          <w:marTop w:val="30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 w:id="255753536">
          <w:marLeft w:val="0"/>
          <w:marRight w:val="0"/>
          <w:marTop w:val="30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89525">
          <w:marLeft w:val="0"/>
          <w:marRight w:val="0"/>
          <w:marTop w:val="0"/>
          <w:marBottom w:val="0"/>
          <w:divBdr>
            <w:top w:val="none" w:sz="0" w:space="0" w:color="auto"/>
            <w:left w:val="none" w:sz="0" w:space="0" w:color="auto"/>
            <w:bottom w:val="none" w:sz="0" w:space="0" w:color="auto"/>
            <w:right w:val="none" w:sz="0" w:space="0" w:color="auto"/>
          </w:divBdr>
          <w:divsChild>
            <w:div w:id="1982496153">
              <w:marLeft w:val="0"/>
              <w:marRight w:val="0"/>
              <w:marTop w:val="0"/>
              <w:marBottom w:val="0"/>
              <w:divBdr>
                <w:top w:val="none" w:sz="0" w:space="0" w:color="auto"/>
                <w:left w:val="none" w:sz="0" w:space="0" w:color="auto"/>
                <w:bottom w:val="none" w:sz="0" w:space="0" w:color="auto"/>
                <w:right w:val="none" w:sz="0" w:space="0" w:color="auto"/>
              </w:divBdr>
              <w:divsChild>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sChild>
                <w:div w:id="2030597976">
                  <w:marLeft w:val="0"/>
                  <w:marRight w:val="0"/>
                  <w:marTop w:val="0"/>
                  <w:marBottom w:val="0"/>
                  <w:divBdr>
                    <w:top w:val="none" w:sz="0" w:space="0" w:color="auto"/>
                    <w:left w:val="none" w:sz="0" w:space="0" w:color="auto"/>
                    <w:bottom w:val="none" w:sz="0" w:space="0" w:color="auto"/>
                    <w:right w:val="none" w:sz="0" w:space="0" w:color="auto"/>
                  </w:divBdr>
                  <w:divsChild>
                    <w:div w:id="14505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1874658439">
          <w:marLeft w:val="0"/>
          <w:marRight w:val="0"/>
          <w:marTop w:val="0"/>
          <w:marBottom w:val="0"/>
          <w:divBdr>
            <w:top w:val="none" w:sz="0" w:space="0" w:color="auto"/>
            <w:left w:val="none" w:sz="0" w:space="0" w:color="auto"/>
            <w:bottom w:val="none" w:sz="0" w:space="0" w:color="auto"/>
            <w:right w:val="none" w:sz="0" w:space="0" w:color="auto"/>
          </w:divBdr>
          <w:divsChild>
            <w:div w:id="1990749711">
              <w:marLeft w:val="0"/>
              <w:marRight w:val="0"/>
              <w:marTop w:val="0"/>
              <w:marBottom w:val="0"/>
              <w:divBdr>
                <w:top w:val="none" w:sz="0" w:space="0" w:color="auto"/>
                <w:left w:val="none" w:sz="0" w:space="0" w:color="auto"/>
                <w:bottom w:val="none" w:sz="0" w:space="0" w:color="auto"/>
                <w:right w:val="none" w:sz="0" w:space="0" w:color="auto"/>
              </w:divBdr>
              <w:divsChild>
                <w:div w:id="1217934830">
                  <w:marLeft w:val="0"/>
                  <w:marRight w:val="0"/>
                  <w:marTop w:val="0"/>
                  <w:marBottom w:val="0"/>
                  <w:divBdr>
                    <w:top w:val="none" w:sz="0" w:space="0" w:color="auto"/>
                    <w:left w:val="none" w:sz="0" w:space="0" w:color="auto"/>
                    <w:bottom w:val="none" w:sz="0" w:space="0" w:color="auto"/>
                    <w:right w:val="none" w:sz="0" w:space="0" w:color="auto"/>
                  </w:divBdr>
                  <w:divsChild>
                    <w:div w:id="19739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sChild>
                    <w:div w:id="19653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 w:id="338430197">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1859192618">
          <w:marLeft w:val="0"/>
          <w:marRight w:val="0"/>
          <w:marTop w:val="0"/>
          <w:marBottom w:val="0"/>
          <w:divBdr>
            <w:top w:val="none" w:sz="0" w:space="0" w:color="auto"/>
            <w:left w:val="none" w:sz="0" w:space="0" w:color="auto"/>
            <w:bottom w:val="none" w:sz="0" w:space="0" w:color="auto"/>
            <w:right w:val="none" w:sz="0" w:space="0" w:color="auto"/>
          </w:divBdr>
        </w:div>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 w:id="1217739801">
          <w:marLeft w:val="0"/>
          <w:marRight w:val="0"/>
          <w:marTop w:val="0"/>
          <w:marBottom w:val="0"/>
          <w:divBdr>
            <w:top w:val="none" w:sz="0" w:space="0" w:color="auto"/>
            <w:left w:val="none" w:sz="0" w:space="0" w:color="auto"/>
            <w:bottom w:val="none" w:sz="0" w:space="0" w:color="auto"/>
            <w:right w:val="none" w:sz="0" w:space="0" w:color="auto"/>
          </w:divBdr>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6240">
          <w:marLeft w:val="0"/>
          <w:marRight w:val="0"/>
          <w:marTop w:val="0"/>
          <w:marBottom w:val="0"/>
          <w:divBdr>
            <w:top w:val="none" w:sz="0" w:space="0" w:color="auto"/>
            <w:left w:val="none" w:sz="0" w:space="0" w:color="auto"/>
            <w:bottom w:val="none" w:sz="0" w:space="0" w:color="auto"/>
            <w:right w:val="none" w:sz="0" w:space="0" w:color="auto"/>
          </w:divBdr>
          <w:divsChild>
            <w:div w:id="2057853403">
              <w:marLeft w:val="0"/>
              <w:marRight w:val="0"/>
              <w:marTop w:val="0"/>
              <w:marBottom w:val="0"/>
              <w:divBdr>
                <w:top w:val="none" w:sz="0" w:space="0" w:color="auto"/>
                <w:left w:val="none" w:sz="0" w:space="0" w:color="auto"/>
                <w:bottom w:val="none" w:sz="0" w:space="0" w:color="auto"/>
                <w:right w:val="none" w:sz="0" w:space="0" w:color="auto"/>
              </w:divBdr>
              <w:divsChild>
                <w:div w:id="2021202479">
                  <w:marLeft w:val="0"/>
                  <w:marRight w:val="0"/>
                  <w:marTop w:val="0"/>
                  <w:marBottom w:val="0"/>
                  <w:divBdr>
                    <w:top w:val="none" w:sz="0" w:space="0" w:color="auto"/>
                    <w:left w:val="none" w:sz="0" w:space="0" w:color="auto"/>
                    <w:bottom w:val="none" w:sz="0" w:space="0" w:color="auto"/>
                    <w:right w:val="none" w:sz="0" w:space="0" w:color="auto"/>
                  </w:divBdr>
                  <w:divsChild>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sChild>
            <w:div w:id="2057776996">
              <w:marLeft w:val="0"/>
              <w:marRight w:val="0"/>
              <w:marTop w:val="0"/>
              <w:marBottom w:val="0"/>
              <w:divBdr>
                <w:top w:val="none" w:sz="0" w:space="0" w:color="auto"/>
                <w:left w:val="none" w:sz="0" w:space="0" w:color="auto"/>
                <w:bottom w:val="none" w:sz="0" w:space="0" w:color="auto"/>
                <w:right w:val="none" w:sz="0" w:space="0" w:color="auto"/>
              </w:divBdr>
              <w:divsChild>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sChild>
                            <w:div w:id="20793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sChild>
                        <w:div w:id="2032607293">
                          <w:marLeft w:val="0"/>
                          <w:marRight w:val="0"/>
                          <w:marTop w:val="0"/>
                          <w:marBottom w:val="0"/>
                          <w:divBdr>
                            <w:top w:val="none" w:sz="0" w:space="0" w:color="auto"/>
                            <w:left w:val="none" w:sz="0" w:space="0" w:color="auto"/>
                            <w:bottom w:val="none" w:sz="0" w:space="0" w:color="auto"/>
                            <w:right w:val="none" w:sz="0" w:space="0" w:color="auto"/>
                          </w:divBdr>
                          <w:divsChild>
                            <w:div w:id="14564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586">
          <w:marLeft w:val="0"/>
          <w:marRight w:val="0"/>
          <w:marTop w:val="0"/>
          <w:marBottom w:val="0"/>
          <w:divBdr>
            <w:top w:val="none" w:sz="0" w:space="0" w:color="auto"/>
            <w:left w:val="none" w:sz="0" w:space="0" w:color="auto"/>
            <w:bottom w:val="none" w:sz="0" w:space="0" w:color="auto"/>
            <w:right w:val="none" w:sz="0" w:space="0" w:color="auto"/>
          </w:divBdr>
          <w:divsChild>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sChild>
                            <w:div w:id="2095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sChild>
                <w:div w:id="2057504850">
                  <w:marLeft w:val="0"/>
                  <w:marRight w:val="0"/>
                  <w:marTop w:val="0"/>
                  <w:marBottom w:val="0"/>
                  <w:divBdr>
                    <w:top w:val="none" w:sz="0" w:space="0" w:color="auto"/>
                    <w:left w:val="none" w:sz="0" w:space="0" w:color="auto"/>
                    <w:bottom w:val="none" w:sz="0" w:space="0" w:color="auto"/>
                    <w:right w:val="none" w:sz="0" w:space="0" w:color="auto"/>
                  </w:divBdr>
                  <w:divsChild>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990211862">
          <w:marLeft w:val="0"/>
          <w:marRight w:val="0"/>
          <w:marTop w:val="0"/>
          <w:marBottom w:val="0"/>
          <w:divBdr>
            <w:top w:val="none" w:sz="0" w:space="0" w:color="auto"/>
            <w:left w:val="none" w:sz="0" w:space="0" w:color="auto"/>
            <w:bottom w:val="none" w:sz="0" w:space="0" w:color="auto"/>
            <w:right w:val="none" w:sz="0" w:space="0" w:color="auto"/>
          </w:divBdr>
        </w:div>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sChild>
                    <w:div w:id="1973711340">
                      <w:marLeft w:val="0"/>
                      <w:marRight w:val="0"/>
                      <w:marTop w:val="0"/>
                      <w:marBottom w:val="0"/>
                      <w:divBdr>
                        <w:top w:val="none" w:sz="0" w:space="0" w:color="auto"/>
                        <w:left w:val="none" w:sz="0" w:space="0" w:color="auto"/>
                        <w:bottom w:val="none" w:sz="0" w:space="0" w:color="auto"/>
                        <w:right w:val="none" w:sz="0" w:space="0" w:color="auto"/>
                      </w:divBdr>
                      <w:divsChild>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2079671544">
          <w:marLeft w:val="0"/>
          <w:marRight w:val="0"/>
          <w:marTop w:val="0"/>
          <w:marBottom w:val="0"/>
          <w:divBdr>
            <w:top w:val="none" w:sz="0" w:space="0" w:color="auto"/>
            <w:left w:val="none" w:sz="0" w:space="0" w:color="auto"/>
            <w:bottom w:val="none" w:sz="0" w:space="0" w:color="auto"/>
            <w:right w:val="none" w:sz="0" w:space="0" w:color="auto"/>
          </w:divBdr>
          <w:divsChild>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sChild>
                    <w:div w:id="2047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sChild>
                        <w:div w:id="1979338464">
                          <w:marLeft w:val="0"/>
                          <w:marRight w:val="0"/>
                          <w:marTop w:val="0"/>
                          <w:marBottom w:val="0"/>
                          <w:divBdr>
                            <w:top w:val="none" w:sz="0" w:space="0" w:color="auto"/>
                            <w:left w:val="none" w:sz="0" w:space="0" w:color="auto"/>
                            <w:bottom w:val="none" w:sz="0" w:space="0" w:color="auto"/>
                            <w:right w:val="none" w:sz="0" w:space="0" w:color="auto"/>
                          </w:divBdr>
                          <w:divsChild>
                            <w:div w:id="40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644239836">
          <w:marLeft w:val="0"/>
          <w:marRight w:val="0"/>
          <w:marTop w:val="0"/>
          <w:marBottom w:val="0"/>
          <w:divBdr>
            <w:top w:val="none" w:sz="0" w:space="0" w:color="auto"/>
            <w:left w:val="none" w:sz="0" w:space="0" w:color="auto"/>
            <w:bottom w:val="none" w:sz="0" w:space="0" w:color="auto"/>
            <w:right w:val="none" w:sz="0" w:space="0" w:color="auto"/>
          </w:divBdr>
        </w:div>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2086998008">
          <w:marLeft w:val="0"/>
          <w:marRight w:val="0"/>
          <w:marTop w:val="0"/>
          <w:marBottom w:val="0"/>
          <w:divBdr>
            <w:top w:val="none" w:sz="0" w:space="0" w:color="auto"/>
            <w:left w:val="none" w:sz="0" w:space="0" w:color="auto"/>
            <w:bottom w:val="none" w:sz="0" w:space="0" w:color="auto"/>
            <w:right w:val="none" w:sz="0" w:space="0" w:color="auto"/>
          </w:divBdr>
          <w:divsChild>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1972973064">
          <w:marLeft w:val="0"/>
          <w:marRight w:val="0"/>
          <w:marTop w:val="0"/>
          <w:marBottom w:val="0"/>
          <w:divBdr>
            <w:top w:val="none" w:sz="0" w:space="0" w:color="auto"/>
            <w:left w:val="none" w:sz="0" w:space="0" w:color="auto"/>
            <w:bottom w:val="none" w:sz="0" w:space="0" w:color="auto"/>
            <w:right w:val="none" w:sz="0" w:space="0" w:color="auto"/>
          </w:divBdr>
        </w:div>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140881503">
          <w:marLeft w:val="0"/>
          <w:marRight w:val="0"/>
          <w:marTop w:val="0"/>
          <w:marBottom w:val="0"/>
          <w:divBdr>
            <w:top w:val="none" w:sz="0" w:space="0" w:color="auto"/>
            <w:left w:val="none" w:sz="0" w:space="0" w:color="auto"/>
            <w:bottom w:val="none" w:sz="0" w:space="0" w:color="auto"/>
            <w:right w:val="none" w:sz="0" w:space="0" w:color="auto"/>
          </w:divBdr>
        </w:div>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sChild>
            <w:div w:id="1972206309">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sChild>
            <w:div w:id="2071341359">
              <w:marLeft w:val="0"/>
              <w:marRight w:val="0"/>
              <w:marTop w:val="0"/>
              <w:marBottom w:val="0"/>
              <w:divBdr>
                <w:top w:val="none" w:sz="0" w:space="0" w:color="auto"/>
                <w:left w:val="none" w:sz="0" w:space="0" w:color="auto"/>
                <w:bottom w:val="none" w:sz="0" w:space="0" w:color="auto"/>
                <w:right w:val="none" w:sz="0" w:space="0" w:color="auto"/>
              </w:divBdr>
              <w:divsChild>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934">
          <w:marLeft w:val="0"/>
          <w:marRight w:val="0"/>
          <w:marTop w:val="0"/>
          <w:marBottom w:val="0"/>
          <w:divBdr>
            <w:top w:val="none" w:sz="0" w:space="0" w:color="auto"/>
            <w:left w:val="none" w:sz="0" w:space="0" w:color="auto"/>
            <w:bottom w:val="none" w:sz="0" w:space="0" w:color="auto"/>
            <w:right w:val="none" w:sz="0" w:space="0" w:color="auto"/>
          </w:divBdr>
          <w:divsChild>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 w:id="1981837755">
          <w:marLeft w:val="0"/>
          <w:marRight w:val="0"/>
          <w:marTop w:val="0"/>
          <w:marBottom w:val="0"/>
          <w:divBdr>
            <w:top w:val="none" w:sz="0" w:space="0" w:color="auto"/>
            <w:left w:val="none" w:sz="0" w:space="0" w:color="auto"/>
            <w:bottom w:val="none" w:sz="0" w:space="0" w:color="auto"/>
            <w:right w:val="none" w:sz="0" w:space="0" w:color="auto"/>
          </w:divBdr>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89890434">
          <w:marLeft w:val="0"/>
          <w:marRight w:val="0"/>
          <w:marTop w:val="0"/>
          <w:marBottom w:val="0"/>
          <w:divBdr>
            <w:top w:val="none" w:sz="0" w:space="0" w:color="auto"/>
            <w:left w:val="none" w:sz="0" w:space="0" w:color="auto"/>
            <w:bottom w:val="none" w:sz="0" w:space="0" w:color="auto"/>
            <w:right w:val="none" w:sz="0" w:space="0" w:color="auto"/>
          </w:divBdr>
        </w:div>
        <w:div w:id="1054616944">
          <w:marLeft w:val="0"/>
          <w:marRight w:val="0"/>
          <w:marTop w:val="30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 w:id="1329862913">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1657806407">
          <w:marLeft w:val="0"/>
          <w:marRight w:val="0"/>
          <w:marTop w:val="0"/>
          <w:marBottom w:val="0"/>
          <w:divBdr>
            <w:top w:val="none" w:sz="0" w:space="0" w:color="auto"/>
            <w:left w:val="none" w:sz="0" w:space="0" w:color="auto"/>
            <w:bottom w:val="none" w:sz="0" w:space="0" w:color="auto"/>
            <w:right w:val="none" w:sz="0" w:space="0" w:color="auto"/>
          </w:divBdr>
          <w:divsChild>
            <w:div w:id="1980185376">
              <w:marLeft w:val="0"/>
              <w:marRight w:val="0"/>
              <w:marTop w:val="0"/>
              <w:marBottom w:val="0"/>
              <w:divBdr>
                <w:top w:val="none" w:sz="0" w:space="0" w:color="auto"/>
                <w:left w:val="none" w:sz="0" w:space="0" w:color="auto"/>
                <w:bottom w:val="none" w:sz="0" w:space="0" w:color="auto"/>
                <w:right w:val="none" w:sz="0" w:space="0" w:color="auto"/>
              </w:divBdr>
            </w:div>
          </w:divsChild>
        </w:div>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62">
          <w:marLeft w:val="0"/>
          <w:marRight w:val="0"/>
          <w:marTop w:val="0"/>
          <w:marBottom w:val="0"/>
          <w:divBdr>
            <w:top w:val="none" w:sz="0" w:space="0" w:color="auto"/>
            <w:left w:val="none" w:sz="0" w:space="0" w:color="auto"/>
            <w:bottom w:val="none" w:sz="0" w:space="0" w:color="auto"/>
            <w:right w:val="none" w:sz="0" w:space="0" w:color="auto"/>
          </w:divBdr>
        </w:div>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 w:id="1574241589">
          <w:marLeft w:val="0"/>
          <w:marRight w:val="0"/>
          <w:marTop w:val="0"/>
          <w:marBottom w:val="0"/>
          <w:divBdr>
            <w:top w:val="none" w:sz="0" w:space="0" w:color="auto"/>
            <w:left w:val="none" w:sz="0" w:space="0" w:color="auto"/>
            <w:bottom w:val="none" w:sz="0" w:space="0" w:color="auto"/>
            <w:right w:val="none" w:sz="0" w:space="0" w:color="auto"/>
          </w:divBdr>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2768">
          <w:marLeft w:val="0"/>
          <w:marRight w:val="0"/>
          <w:marTop w:val="0"/>
          <w:marBottom w:val="0"/>
          <w:divBdr>
            <w:top w:val="none" w:sz="0" w:space="0" w:color="auto"/>
            <w:left w:val="none" w:sz="0" w:space="0" w:color="auto"/>
            <w:bottom w:val="none" w:sz="0" w:space="0" w:color="auto"/>
            <w:right w:val="none" w:sz="0" w:space="0" w:color="auto"/>
          </w:divBdr>
          <w:divsChild>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136632630">
          <w:marLeft w:val="0"/>
          <w:marRight w:val="0"/>
          <w:marTop w:val="0"/>
          <w:marBottom w:val="0"/>
          <w:divBdr>
            <w:top w:val="none" w:sz="0" w:space="0" w:color="auto"/>
            <w:left w:val="none" w:sz="0" w:space="0" w:color="auto"/>
            <w:bottom w:val="none" w:sz="0" w:space="0" w:color="auto"/>
            <w:right w:val="none" w:sz="0" w:space="0" w:color="auto"/>
          </w:divBdr>
          <w:divsChild>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sChild>
                <w:div w:id="20069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008">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728798347">
          <w:marLeft w:val="0"/>
          <w:marRight w:val="0"/>
          <w:marTop w:val="0"/>
          <w:marBottom w:val="0"/>
          <w:divBdr>
            <w:top w:val="none" w:sz="0" w:space="0" w:color="auto"/>
            <w:left w:val="none" w:sz="0" w:space="0" w:color="auto"/>
            <w:bottom w:val="none" w:sz="0" w:space="0" w:color="auto"/>
            <w:right w:val="none" w:sz="0" w:space="0" w:color="auto"/>
          </w:divBdr>
        </w:div>
        <w:div w:id="1492520275">
          <w:marLeft w:val="0"/>
          <w:marRight w:val="0"/>
          <w:marTop w:val="30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1434">
          <w:marLeft w:val="0"/>
          <w:marRight w:val="0"/>
          <w:marTop w:val="0"/>
          <w:marBottom w:val="0"/>
          <w:divBdr>
            <w:top w:val="none" w:sz="0" w:space="0" w:color="auto"/>
            <w:left w:val="none" w:sz="0" w:space="0" w:color="auto"/>
            <w:bottom w:val="none" w:sz="0" w:space="0" w:color="auto"/>
            <w:right w:val="none" w:sz="0" w:space="0" w:color="auto"/>
          </w:divBdr>
        </w:div>
        <w:div w:id="1355762895">
          <w:marLeft w:val="0"/>
          <w:marRight w:val="0"/>
          <w:marTop w:val="30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2064058453">
          <w:marLeft w:val="0"/>
          <w:marRight w:val="0"/>
          <w:marTop w:val="0"/>
          <w:marBottom w:val="0"/>
          <w:divBdr>
            <w:top w:val="none" w:sz="0" w:space="0" w:color="auto"/>
            <w:left w:val="none" w:sz="0" w:space="0" w:color="auto"/>
            <w:bottom w:val="none" w:sz="0" w:space="0" w:color="auto"/>
            <w:right w:val="none" w:sz="0" w:space="0" w:color="auto"/>
          </w:divBdr>
          <w:divsChild>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sChild>
                    <w:div w:id="20767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 w:id="188639361">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sChild>
                            <w:div w:id="208544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sChild>
                            <w:div w:id="20929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1116800616">
          <w:marLeft w:val="0"/>
          <w:marRight w:val="0"/>
          <w:marTop w:val="0"/>
          <w:marBottom w:val="0"/>
          <w:divBdr>
            <w:top w:val="none" w:sz="0" w:space="0" w:color="auto"/>
            <w:left w:val="none" w:sz="0" w:space="0" w:color="auto"/>
            <w:bottom w:val="none" w:sz="0" w:space="0" w:color="auto"/>
            <w:right w:val="none" w:sz="0" w:space="0" w:color="auto"/>
          </w:divBdr>
        </w:div>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 w:id="2060201181">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sChild>
                <w:div w:id="2048024807">
                  <w:marLeft w:val="0"/>
                  <w:marRight w:val="0"/>
                  <w:marTop w:val="0"/>
                  <w:marBottom w:val="0"/>
                  <w:divBdr>
                    <w:top w:val="none" w:sz="0" w:space="0" w:color="auto"/>
                    <w:left w:val="none" w:sz="0" w:space="0" w:color="auto"/>
                    <w:bottom w:val="none" w:sz="0" w:space="0" w:color="auto"/>
                    <w:right w:val="none" w:sz="0" w:space="0" w:color="auto"/>
                  </w:divBdr>
                  <w:divsChild>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1752894912">
          <w:marLeft w:val="0"/>
          <w:marRight w:val="0"/>
          <w:marTop w:val="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1072123511">
          <w:marLeft w:val="0"/>
          <w:marRight w:val="0"/>
          <w:marTop w:val="0"/>
          <w:marBottom w:val="0"/>
          <w:divBdr>
            <w:top w:val="none" w:sz="0" w:space="0" w:color="auto"/>
            <w:left w:val="none" w:sz="0" w:space="0" w:color="auto"/>
            <w:bottom w:val="none" w:sz="0" w:space="0" w:color="auto"/>
            <w:right w:val="none" w:sz="0" w:space="0" w:color="auto"/>
          </w:divBdr>
          <w:divsChild>
            <w:div w:id="1989897936">
              <w:marLeft w:val="0"/>
              <w:marRight w:val="0"/>
              <w:marTop w:val="0"/>
              <w:marBottom w:val="0"/>
              <w:divBdr>
                <w:top w:val="none" w:sz="0" w:space="0" w:color="auto"/>
                <w:left w:val="none" w:sz="0" w:space="0" w:color="auto"/>
                <w:bottom w:val="none" w:sz="0" w:space="0" w:color="auto"/>
                <w:right w:val="none" w:sz="0" w:space="0" w:color="auto"/>
              </w:divBdr>
              <w:divsChild>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9296">
          <w:marLeft w:val="0"/>
          <w:marRight w:val="0"/>
          <w:marTop w:val="0"/>
          <w:marBottom w:val="0"/>
          <w:divBdr>
            <w:top w:val="none" w:sz="0" w:space="0" w:color="auto"/>
            <w:left w:val="none" w:sz="0" w:space="0" w:color="auto"/>
            <w:bottom w:val="none" w:sz="0" w:space="0" w:color="auto"/>
            <w:right w:val="none" w:sz="0" w:space="0" w:color="auto"/>
          </w:divBdr>
          <w:divsChild>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2081632518">
          <w:marLeft w:val="0"/>
          <w:marRight w:val="0"/>
          <w:marTop w:val="0"/>
          <w:marBottom w:val="0"/>
          <w:divBdr>
            <w:top w:val="none" w:sz="0" w:space="0" w:color="auto"/>
            <w:left w:val="none" w:sz="0" w:space="0" w:color="auto"/>
            <w:bottom w:val="none" w:sz="0" w:space="0" w:color="auto"/>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1957102986">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sChild>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sChild>
            <w:div w:id="2016571940">
              <w:marLeft w:val="0"/>
              <w:marRight w:val="0"/>
              <w:marTop w:val="0"/>
              <w:marBottom w:val="0"/>
              <w:divBdr>
                <w:top w:val="none" w:sz="0" w:space="0" w:color="auto"/>
                <w:left w:val="none" w:sz="0" w:space="0" w:color="auto"/>
                <w:bottom w:val="none" w:sz="0" w:space="0" w:color="auto"/>
                <w:right w:val="none" w:sz="0" w:space="0" w:color="auto"/>
              </w:divBdr>
              <w:divsChild>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sChild>
                            <w:div w:id="21337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1505977579">
          <w:marLeft w:val="0"/>
          <w:marRight w:val="0"/>
          <w:marTop w:val="0"/>
          <w:marBottom w:val="0"/>
          <w:divBdr>
            <w:top w:val="none" w:sz="0" w:space="0" w:color="auto"/>
            <w:left w:val="none" w:sz="0" w:space="0" w:color="auto"/>
            <w:bottom w:val="none" w:sz="0" w:space="0" w:color="auto"/>
            <w:right w:val="none" w:sz="0" w:space="0" w:color="auto"/>
          </w:divBdr>
        </w:div>
        <w:div w:id="608242654">
          <w:marLeft w:val="0"/>
          <w:marRight w:val="0"/>
          <w:marTop w:val="30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884147287">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712874029">
          <w:marLeft w:val="0"/>
          <w:marRight w:val="0"/>
          <w:marTop w:val="0"/>
          <w:marBottom w:val="0"/>
          <w:divBdr>
            <w:top w:val="none" w:sz="0" w:space="0" w:color="auto"/>
            <w:left w:val="none" w:sz="0" w:space="0" w:color="auto"/>
            <w:bottom w:val="none" w:sz="0" w:space="0" w:color="auto"/>
            <w:right w:val="none" w:sz="0" w:space="0" w:color="auto"/>
          </w:divBdr>
        </w:div>
        <w:div w:id="2064132491">
          <w:marLeft w:val="0"/>
          <w:marRight w:val="0"/>
          <w:marTop w:val="150"/>
          <w:marBottom w:val="150"/>
          <w:divBdr>
            <w:top w:val="single" w:sz="6" w:space="4" w:color="D7D7D7"/>
            <w:left w:val="none" w:sz="0" w:space="0" w:color="auto"/>
            <w:bottom w:val="single" w:sz="6" w:space="4" w:color="D7D7D7"/>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1088766521">
          <w:marLeft w:val="0"/>
          <w:marRight w:val="0"/>
          <w:marTop w:val="0"/>
          <w:marBottom w:val="0"/>
          <w:divBdr>
            <w:top w:val="none" w:sz="0" w:space="0" w:color="auto"/>
            <w:left w:val="none" w:sz="0" w:space="0" w:color="auto"/>
            <w:bottom w:val="none" w:sz="0" w:space="0" w:color="auto"/>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1993218350">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8860">
          <w:marLeft w:val="0"/>
          <w:marRight w:val="0"/>
          <w:marTop w:val="0"/>
          <w:marBottom w:val="0"/>
          <w:divBdr>
            <w:top w:val="none" w:sz="0" w:space="0" w:color="auto"/>
            <w:left w:val="none" w:sz="0" w:space="0" w:color="auto"/>
            <w:bottom w:val="none" w:sz="0" w:space="0" w:color="auto"/>
            <w:right w:val="none" w:sz="0" w:space="0" w:color="auto"/>
          </w:divBdr>
          <w:divsChild>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sChild>
                            <w:div w:id="2081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sChild>
                <w:div w:id="1995254268">
                  <w:marLeft w:val="0"/>
                  <w:marRight w:val="0"/>
                  <w:marTop w:val="0"/>
                  <w:marBottom w:val="0"/>
                  <w:divBdr>
                    <w:top w:val="none" w:sz="0" w:space="0" w:color="auto"/>
                    <w:left w:val="none" w:sz="0" w:space="0" w:color="auto"/>
                    <w:bottom w:val="none" w:sz="0" w:space="0" w:color="auto"/>
                    <w:right w:val="none" w:sz="0" w:space="0" w:color="auto"/>
                  </w:divBdr>
                  <w:divsChild>
                    <w:div w:id="7132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107">
          <w:marLeft w:val="0"/>
          <w:marRight w:val="0"/>
          <w:marTop w:val="0"/>
          <w:marBottom w:val="0"/>
          <w:divBdr>
            <w:top w:val="none" w:sz="0" w:space="0" w:color="auto"/>
            <w:left w:val="none" w:sz="0" w:space="0" w:color="auto"/>
            <w:bottom w:val="none" w:sz="0" w:space="0" w:color="auto"/>
            <w:right w:val="none" w:sz="0" w:space="0" w:color="auto"/>
          </w:divBdr>
          <w:divsChild>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sChild>
                        <w:div w:id="2040542848">
                          <w:marLeft w:val="0"/>
                          <w:marRight w:val="0"/>
                          <w:marTop w:val="0"/>
                          <w:marBottom w:val="0"/>
                          <w:divBdr>
                            <w:top w:val="none" w:sz="0" w:space="0" w:color="auto"/>
                            <w:left w:val="none" w:sz="0" w:space="0" w:color="auto"/>
                            <w:bottom w:val="none" w:sz="0" w:space="0" w:color="auto"/>
                            <w:right w:val="none" w:sz="0" w:space="0" w:color="auto"/>
                          </w:divBdr>
                          <w:divsChild>
                            <w:div w:id="1020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sChild>
                <w:div w:id="2019385484">
                  <w:marLeft w:val="0"/>
                  <w:marRight w:val="0"/>
                  <w:marTop w:val="0"/>
                  <w:marBottom w:val="0"/>
                  <w:divBdr>
                    <w:top w:val="none" w:sz="0" w:space="0" w:color="auto"/>
                    <w:left w:val="none" w:sz="0" w:space="0" w:color="auto"/>
                    <w:bottom w:val="none" w:sz="0" w:space="0" w:color="auto"/>
                    <w:right w:val="none" w:sz="0" w:space="0" w:color="auto"/>
                  </w:divBdr>
                  <w:divsChild>
                    <w:div w:id="13159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sChild>
                <w:div w:id="1998723874">
                  <w:marLeft w:val="0"/>
                  <w:marRight w:val="0"/>
                  <w:marTop w:val="0"/>
                  <w:marBottom w:val="0"/>
                  <w:divBdr>
                    <w:top w:val="none" w:sz="0" w:space="0" w:color="auto"/>
                    <w:left w:val="none" w:sz="0" w:space="0" w:color="auto"/>
                    <w:bottom w:val="none" w:sz="0" w:space="0" w:color="auto"/>
                    <w:right w:val="none" w:sz="0" w:space="0" w:color="auto"/>
                  </w:divBdr>
                  <w:divsChild>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53048317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665943405">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3171">
          <w:marLeft w:val="0"/>
          <w:marRight w:val="0"/>
          <w:marTop w:val="0"/>
          <w:marBottom w:val="0"/>
          <w:divBdr>
            <w:top w:val="none" w:sz="0" w:space="0" w:color="auto"/>
            <w:left w:val="none" w:sz="0" w:space="0" w:color="auto"/>
            <w:bottom w:val="none" w:sz="0" w:space="0" w:color="auto"/>
            <w:right w:val="none" w:sz="0" w:space="0" w:color="auto"/>
          </w:divBdr>
          <w:divsChild>
            <w:div w:id="572278285">
              <w:marLeft w:val="0"/>
              <w:marRight w:val="0"/>
              <w:marTop w:val="0"/>
              <w:marBottom w:val="0"/>
              <w:divBdr>
                <w:top w:val="none" w:sz="0" w:space="0" w:color="auto"/>
                <w:left w:val="none" w:sz="0" w:space="0" w:color="auto"/>
                <w:bottom w:val="none" w:sz="0" w:space="0" w:color="auto"/>
                <w:right w:val="none" w:sz="0" w:space="0" w:color="auto"/>
              </w:divBdr>
              <w:divsChild>
                <w:div w:id="1994023150">
                  <w:marLeft w:val="0"/>
                  <w:marRight w:val="0"/>
                  <w:marTop w:val="0"/>
                  <w:marBottom w:val="0"/>
                  <w:divBdr>
                    <w:top w:val="none" w:sz="0" w:space="0" w:color="auto"/>
                    <w:left w:val="none" w:sz="0" w:space="0" w:color="auto"/>
                    <w:bottom w:val="none" w:sz="0" w:space="0" w:color="auto"/>
                    <w:right w:val="none" w:sz="0" w:space="0" w:color="auto"/>
                  </w:divBdr>
                  <w:divsChild>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sChild>
                            <w:div w:id="2115856886">
                              <w:marLeft w:val="0"/>
                              <w:marRight w:val="0"/>
                              <w:marTop w:val="0"/>
                              <w:marBottom w:val="0"/>
                              <w:divBdr>
                                <w:top w:val="none" w:sz="0" w:space="0" w:color="auto"/>
                                <w:left w:val="none" w:sz="0" w:space="0" w:color="auto"/>
                                <w:bottom w:val="none" w:sz="0" w:space="0" w:color="auto"/>
                                <w:right w:val="none" w:sz="0" w:space="0" w:color="auto"/>
                              </w:divBdr>
                              <w:divsChild>
                                <w:div w:id="2061710142">
                                  <w:marLeft w:val="0"/>
                                  <w:marRight w:val="0"/>
                                  <w:marTop w:val="0"/>
                                  <w:marBottom w:val="0"/>
                                  <w:divBdr>
                                    <w:top w:val="none" w:sz="0" w:space="0" w:color="auto"/>
                                    <w:left w:val="none" w:sz="0" w:space="0" w:color="auto"/>
                                    <w:bottom w:val="none" w:sz="0" w:space="0" w:color="auto"/>
                                    <w:right w:val="none" w:sz="0" w:space="0" w:color="auto"/>
                                  </w:divBdr>
                                  <w:divsChild>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sChild>
                                    <w:div w:id="2064134820">
                                      <w:marLeft w:val="0"/>
                                      <w:marRight w:val="0"/>
                                      <w:marTop w:val="0"/>
                                      <w:marBottom w:val="0"/>
                                      <w:divBdr>
                                        <w:top w:val="single" w:sz="6" w:space="0" w:color="CFCFCF"/>
                                        <w:left w:val="single" w:sz="6" w:space="0" w:color="CFCFCF"/>
                                        <w:bottom w:val="single" w:sz="6" w:space="0" w:color="CFCFCF"/>
                                        <w:right w:val="single" w:sz="6" w:space="0" w:color="CFCFCF"/>
                                      </w:divBdr>
                                      <w:divsChild>
                                        <w:div w:id="733888780">
                                          <w:marLeft w:val="0"/>
                                          <w:marRight w:val="0"/>
                                          <w:marTop w:val="0"/>
                                          <w:marBottom w:val="0"/>
                                          <w:divBdr>
                                            <w:top w:val="none" w:sz="0" w:space="0" w:color="auto"/>
                                            <w:left w:val="none" w:sz="0" w:space="0" w:color="auto"/>
                                            <w:bottom w:val="none" w:sz="0" w:space="0" w:color="auto"/>
                                            <w:right w:val="none" w:sz="0" w:space="0" w:color="auto"/>
                                          </w:divBdr>
                                          <w:divsChild>
                                            <w:div w:id="1554265789">
                                              <w:marLeft w:val="0"/>
                                              <w:marRight w:val="0"/>
                                              <w:marTop w:val="0"/>
                                              <w:marBottom w:val="0"/>
                                              <w:divBdr>
                                                <w:top w:val="none" w:sz="0" w:space="0" w:color="auto"/>
                                                <w:left w:val="none" w:sz="0" w:space="0" w:color="auto"/>
                                                <w:bottom w:val="none" w:sz="0" w:space="0" w:color="auto"/>
                                                <w:right w:val="none" w:sz="0" w:space="0" w:color="auto"/>
                                              </w:divBdr>
                                            </w:div>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sChild>
        <w:div w:id="2139444021">
          <w:marLeft w:val="0"/>
          <w:marRight w:val="0"/>
          <w:marTop w:val="0"/>
          <w:marBottom w:val="0"/>
          <w:divBdr>
            <w:top w:val="none" w:sz="0" w:space="0" w:color="auto"/>
            <w:left w:val="none" w:sz="0" w:space="0" w:color="auto"/>
            <w:bottom w:val="none" w:sz="0" w:space="0" w:color="auto"/>
            <w:right w:val="none" w:sz="0" w:space="0" w:color="auto"/>
          </w:divBdr>
          <w:divsChild>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29442">
          <w:marLeft w:val="0"/>
          <w:marRight w:val="0"/>
          <w:marTop w:val="0"/>
          <w:marBottom w:val="0"/>
          <w:divBdr>
            <w:top w:val="none" w:sz="0" w:space="0" w:color="auto"/>
            <w:left w:val="none" w:sz="0" w:space="0" w:color="auto"/>
            <w:bottom w:val="none" w:sz="0" w:space="0" w:color="auto"/>
            <w:right w:val="none" w:sz="0" w:space="0" w:color="auto"/>
          </w:divBdr>
          <w:divsChild>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sChild>
                    <w:div w:id="2125422758">
                      <w:marLeft w:val="0"/>
                      <w:marRight w:val="0"/>
                      <w:marTop w:val="0"/>
                      <w:marBottom w:val="0"/>
                      <w:divBdr>
                        <w:top w:val="none" w:sz="0" w:space="0" w:color="auto"/>
                        <w:left w:val="none" w:sz="0" w:space="0" w:color="auto"/>
                        <w:bottom w:val="none" w:sz="0" w:space="0" w:color="auto"/>
                        <w:right w:val="none" w:sz="0" w:space="0" w:color="auto"/>
                      </w:divBdr>
                      <w:divsChild>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2006475006">
          <w:marLeft w:val="0"/>
          <w:marRight w:val="0"/>
          <w:marTop w:val="0"/>
          <w:marBottom w:val="0"/>
          <w:divBdr>
            <w:top w:val="none" w:sz="0" w:space="0" w:color="auto"/>
            <w:left w:val="none" w:sz="0" w:space="0" w:color="auto"/>
            <w:bottom w:val="none" w:sz="0" w:space="0" w:color="auto"/>
            <w:right w:val="none" w:sz="0" w:space="0" w:color="auto"/>
          </w:divBdr>
          <w:divsChild>
            <w:div w:id="1535146609">
              <w:marLeft w:val="0"/>
              <w:marRight w:val="0"/>
              <w:marTop w:val="0"/>
              <w:marBottom w:val="0"/>
              <w:divBdr>
                <w:top w:val="none" w:sz="0" w:space="0" w:color="auto"/>
                <w:left w:val="none" w:sz="0" w:space="0" w:color="auto"/>
                <w:bottom w:val="none" w:sz="0" w:space="0" w:color="auto"/>
                <w:right w:val="none" w:sz="0" w:space="0" w:color="auto"/>
              </w:divBdr>
            </w:div>
          </w:divsChild>
        </w:div>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5844">
          <w:marLeft w:val="0"/>
          <w:marRight w:val="0"/>
          <w:marTop w:val="0"/>
          <w:marBottom w:val="0"/>
          <w:divBdr>
            <w:top w:val="none" w:sz="0" w:space="0" w:color="auto"/>
            <w:left w:val="none" w:sz="0" w:space="0" w:color="auto"/>
            <w:bottom w:val="none" w:sz="0" w:space="0" w:color="auto"/>
            <w:right w:val="none" w:sz="0" w:space="0" w:color="auto"/>
          </w:divBdr>
          <w:divsChild>
            <w:div w:id="2114746718">
              <w:marLeft w:val="0"/>
              <w:marRight w:val="0"/>
              <w:marTop w:val="0"/>
              <w:marBottom w:val="0"/>
              <w:divBdr>
                <w:top w:val="none" w:sz="0" w:space="0" w:color="auto"/>
                <w:left w:val="none" w:sz="0" w:space="0" w:color="auto"/>
                <w:bottom w:val="none" w:sz="0" w:space="0" w:color="auto"/>
                <w:right w:val="none" w:sz="0" w:space="0" w:color="auto"/>
              </w:divBdr>
              <w:divsChild>
                <w:div w:id="72243750">
                  <w:marLeft w:val="0"/>
                  <w:marRight w:val="0"/>
                  <w:marTop w:val="0"/>
                  <w:marBottom w:val="0"/>
                  <w:divBdr>
                    <w:top w:val="none" w:sz="0" w:space="0" w:color="auto"/>
                    <w:left w:val="none" w:sz="0" w:space="0" w:color="auto"/>
                    <w:bottom w:val="none" w:sz="0" w:space="0" w:color="auto"/>
                    <w:right w:val="none" w:sz="0" w:space="0" w:color="auto"/>
                  </w:divBdr>
                  <w:divsChild>
                    <w:div w:id="2050178773">
                      <w:marLeft w:val="0"/>
                      <w:marRight w:val="0"/>
                      <w:marTop w:val="0"/>
                      <w:marBottom w:val="0"/>
                      <w:divBdr>
                        <w:top w:val="none" w:sz="0" w:space="0" w:color="auto"/>
                        <w:left w:val="none" w:sz="0" w:space="0" w:color="auto"/>
                        <w:bottom w:val="none" w:sz="0" w:space="0" w:color="auto"/>
                        <w:right w:val="none" w:sz="0" w:space="0" w:color="auto"/>
                      </w:divBdr>
                      <w:divsChild>
                        <w:div w:id="259339821">
                          <w:marLeft w:val="0"/>
                          <w:marRight w:val="0"/>
                          <w:marTop w:val="0"/>
                          <w:marBottom w:val="0"/>
                          <w:divBdr>
                            <w:top w:val="none" w:sz="0" w:space="0" w:color="auto"/>
                            <w:left w:val="none" w:sz="0" w:space="0" w:color="auto"/>
                            <w:bottom w:val="none" w:sz="0" w:space="0" w:color="auto"/>
                            <w:right w:val="none" w:sz="0" w:space="0" w:color="auto"/>
                          </w:divBdr>
                          <w:divsChild>
                            <w:div w:id="1482967270">
                              <w:marLeft w:val="0"/>
                              <w:marRight w:val="0"/>
                              <w:marTop w:val="0"/>
                              <w:marBottom w:val="0"/>
                              <w:divBdr>
                                <w:top w:val="none" w:sz="0" w:space="0" w:color="auto"/>
                                <w:left w:val="none" w:sz="0" w:space="0" w:color="auto"/>
                                <w:bottom w:val="none" w:sz="0" w:space="0" w:color="auto"/>
                                <w:right w:val="none" w:sz="0" w:space="0" w:color="auto"/>
                              </w:divBdr>
                            </w:div>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840346503">
          <w:marLeft w:val="0"/>
          <w:marRight w:val="0"/>
          <w:marTop w:val="0"/>
          <w:marBottom w:val="0"/>
          <w:divBdr>
            <w:top w:val="none" w:sz="0" w:space="0" w:color="auto"/>
            <w:left w:val="none" w:sz="0" w:space="0" w:color="auto"/>
            <w:bottom w:val="none" w:sz="0" w:space="0" w:color="auto"/>
            <w:right w:val="none" w:sz="0" w:space="0" w:color="auto"/>
          </w:divBdr>
        </w:div>
        <w:div w:id="126159764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534">
          <w:marLeft w:val="0"/>
          <w:marRight w:val="0"/>
          <w:marTop w:val="0"/>
          <w:marBottom w:val="0"/>
          <w:divBdr>
            <w:top w:val="none" w:sz="0" w:space="0" w:color="auto"/>
            <w:left w:val="none" w:sz="0" w:space="0" w:color="auto"/>
            <w:bottom w:val="none" w:sz="0" w:space="0" w:color="auto"/>
            <w:right w:val="none" w:sz="0" w:space="0" w:color="auto"/>
          </w:divBdr>
          <w:divsChild>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sChild>
                            <w:div w:id="20564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sChild>
                    <w:div w:id="2004356761">
                      <w:marLeft w:val="0"/>
                      <w:marRight w:val="0"/>
                      <w:marTop w:val="0"/>
                      <w:marBottom w:val="0"/>
                      <w:divBdr>
                        <w:top w:val="none" w:sz="0" w:space="0" w:color="auto"/>
                        <w:left w:val="none" w:sz="0" w:space="0" w:color="auto"/>
                        <w:bottom w:val="none" w:sz="0" w:space="0" w:color="auto"/>
                        <w:right w:val="none" w:sz="0" w:space="0" w:color="auto"/>
                      </w:divBdr>
                      <w:divsChild>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sChild>
                                        <w:div w:id="2103263072">
                                          <w:marLeft w:val="0"/>
                                          <w:marRight w:val="0"/>
                                          <w:marTop w:val="0"/>
                                          <w:marBottom w:val="0"/>
                                          <w:divBdr>
                                            <w:top w:val="none" w:sz="0" w:space="0" w:color="auto"/>
                                            <w:left w:val="none" w:sz="0" w:space="0" w:color="auto"/>
                                            <w:bottom w:val="none" w:sz="0" w:space="0" w:color="auto"/>
                                            <w:right w:val="none" w:sz="0" w:space="0" w:color="auto"/>
                                          </w:divBdr>
                                          <w:divsChild>
                                            <w:div w:id="561868778">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sChild>
            <w:div w:id="2029527625">
              <w:marLeft w:val="0"/>
              <w:marRight w:val="0"/>
              <w:marTop w:val="0"/>
              <w:marBottom w:val="0"/>
              <w:divBdr>
                <w:top w:val="none" w:sz="0" w:space="0" w:color="auto"/>
                <w:left w:val="none" w:sz="0" w:space="0" w:color="auto"/>
                <w:bottom w:val="none" w:sz="0" w:space="0" w:color="auto"/>
                <w:right w:val="none" w:sz="0" w:space="0" w:color="auto"/>
              </w:divBdr>
              <w:divsChild>
                <w:div w:id="10795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67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sChild>
            <w:div w:id="2101439248">
              <w:marLeft w:val="0"/>
              <w:marRight w:val="0"/>
              <w:marTop w:val="0"/>
              <w:marBottom w:val="0"/>
              <w:divBdr>
                <w:top w:val="none" w:sz="0" w:space="0" w:color="auto"/>
                <w:left w:val="none" w:sz="0" w:space="0" w:color="auto"/>
                <w:bottom w:val="none" w:sz="0" w:space="0" w:color="auto"/>
                <w:right w:val="none" w:sz="0" w:space="0" w:color="auto"/>
              </w:divBdr>
              <w:divsChild>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3932">
          <w:marLeft w:val="0"/>
          <w:marRight w:val="0"/>
          <w:marTop w:val="0"/>
          <w:marBottom w:val="0"/>
          <w:divBdr>
            <w:top w:val="none" w:sz="0" w:space="0" w:color="auto"/>
            <w:left w:val="none" w:sz="0" w:space="0" w:color="auto"/>
            <w:bottom w:val="none" w:sz="0" w:space="0" w:color="auto"/>
            <w:right w:val="none" w:sz="0" w:space="0" w:color="auto"/>
          </w:divBdr>
          <w:divsChild>
            <w:div w:id="2145923561">
              <w:marLeft w:val="0"/>
              <w:marRight w:val="0"/>
              <w:marTop w:val="0"/>
              <w:marBottom w:val="0"/>
              <w:divBdr>
                <w:top w:val="none" w:sz="0" w:space="0" w:color="auto"/>
                <w:left w:val="none" w:sz="0" w:space="0" w:color="auto"/>
                <w:bottom w:val="none" w:sz="0" w:space="0" w:color="auto"/>
                <w:right w:val="none" w:sz="0" w:space="0" w:color="auto"/>
              </w:divBdr>
              <w:divsChild>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3513">
          <w:marLeft w:val="0"/>
          <w:marRight w:val="0"/>
          <w:marTop w:val="0"/>
          <w:marBottom w:val="0"/>
          <w:divBdr>
            <w:top w:val="none" w:sz="0" w:space="0" w:color="auto"/>
            <w:left w:val="none" w:sz="0" w:space="0" w:color="auto"/>
            <w:bottom w:val="none" w:sz="0" w:space="0" w:color="auto"/>
            <w:right w:val="none" w:sz="0" w:space="0" w:color="auto"/>
          </w:divBdr>
          <w:divsChild>
            <w:div w:id="1681663545">
              <w:marLeft w:val="0"/>
              <w:marRight w:val="0"/>
              <w:marTop w:val="0"/>
              <w:marBottom w:val="0"/>
              <w:divBdr>
                <w:top w:val="none" w:sz="0" w:space="0" w:color="auto"/>
                <w:left w:val="none" w:sz="0" w:space="0" w:color="auto"/>
                <w:bottom w:val="none" w:sz="0" w:space="0" w:color="auto"/>
                <w:right w:val="none" w:sz="0" w:space="0" w:color="auto"/>
              </w:divBdr>
              <w:divsChild>
                <w:div w:id="1984893402">
                  <w:marLeft w:val="0"/>
                  <w:marRight w:val="0"/>
                  <w:marTop w:val="0"/>
                  <w:marBottom w:val="0"/>
                  <w:divBdr>
                    <w:top w:val="none" w:sz="0" w:space="0" w:color="auto"/>
                    <w:left w:val="none" w:sz="0" w:space="0" w:color="auto"/>
                    <w:bottom w:val="none" w:sz="0" w:space="0" w:color="auto"/>
                    <w:right w:val="none" w:sz="0" w:space="0" w:color="auto"/>
                  </w:divBdr>
                  <w:divsChild>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600261974">
          <w:marLeft w:val="0"/>
          <w:marRight w:val="0"/>
          <w:marTop w:val="0"/>
          <w:marBottom w:val="0"/>
          <w:divBdr>
            <w:top w:val="none" w:sz="0" w:space="0" w:color="auto"/>
            <w:left w:val="none" w:sz="0" w:space="0" w:color="auto"/>
            <w:bottom w:val="none" w:sz="0" w:space="0" w:color="auto"/>
            <w:right w:val="none" w:sz="0" w:space="0" w:color="auto"/>
          </w:divBdr>
          <w:divsChild>
            <w:div w:id="1976249723">
              <w:marLeft w:val="0"/>
              <w:marRight w:val="0"/>
              <w:marTop w:val="0"/>
              <w:marBottom w:val="0"/>
              <w:divBdr>
                <w:top w:val="none" w:sz="0" w:space="0" w:color="auto"/>
                <w:left w:val="none" w:sz="0" w:space="0" w:color="auto"/>
                <w:bottom w:val="none" w:sz="0" w:space="0" w:color="auto"/>
                <w:right w:val="none" w:sz="0" w:space="0" w:color="auto"/>
              </w:divBdr>
              <w:divsChild>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81093">
          <w:marLeft w:val="0"/>
          <w:marRight w:val="0"/>
          <w:marTop w:val="0"/>
          <w:marBottom w:val="0"/>
          <w:divBdr>
            <w:top w:val="none" w:sz="0" w:space="0" w:color="auto"/>
            <w:left w:val="none" w:sz="0" w:space="0" w:color="auto"/>
            <w:bottom w:val="none" w:sz="0" w:space="0" w:color="auto"/>
            <w:right w:val="none" w:sz="0" w:space="0" w:color="auto"/>
          </w:divBdr>
          <w:divsChild>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sChild>
                    <w:div w:id="2028288591">
                      <w:marLeft w:val="0"/>
                      <w:marRight w:val="0"/>
                      <w:marTop w:val="0"/>
                      <w:marBottom w:val="0"/>
                      <w:divBdr>
                        <w:top w:val="none" w:sz="0" w:space="0" w:color="auto"/>
                        <w:left w:val="none" w:sz="0" w:space="0" w:color="auto"/>
                        <w:bottom w:val="none" w:sz="0" w:space="0" w:color="auto"/>
                        <w:right w:val="none" w:sz="0" w:space="0" w:color="auto"/>
                      </w:divBdr>
                      <w:divsChild>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 w:id="1001739182">
          <w:marLeft w:val="0"/>
          <w:marRight w:val="0"/>
          <w:marTop w:val="0"/>
          <w:marBottom w:val="0"/>
          <w:divBdr>
            <w:top w:val="none" w:sz="0" w:space="0" w:color="auto"/>
            <w:left w:val="none" w:sz="0" w:space="0" w:color="auto"/>
            <w:bottom w:val="none" w:sz="0" w:space="0" w:color="auto"/>
            <w:right w:val="none" w:sz="0" w:space="0" w:color="auto"/>
          </w:divBdr>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1935624040">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sChild>
            <w:div w:id="1146779986">
              <w:marLeft w:val="0"/>
              <w:marRight w:val="0"/>
              <w:marTop w:val="0"/>
              <w:marBottom w:val="0"/>
              <w:divBdr>
                <w:top w:val="none" w:sz="0" w:space="0" w:color="auto"/>
                <w:left w:val="none" w:sz="0" w:space="0" w:color="auto"/>
                <w:bottom w:val="none" w:sz="0" w:space="0" w:color="auto"/>
                <w:right w:val="none" w:sz="0" w:space="0" w:color="auto"/>
              </w:divBdr>
              <w:divsChild>
                <w:div w:id="2022392228">
                  <w:marLeft w:val="0"/>
                  <w:marRight w:val="0"/>
                  <w:marTop w:val="0"/>
                  <w:marBottom w:val="0"/>
                  <w:divBdr>
                    <w:top w:val="none" w:sz="0" w:space="0" w:color="auto"/>
                    <w:left w:val="none" w:sz="0" w:space="0" w:color="auto"/>
                    <w:bottom w:val="none" w:sz="0" w:space="0" w:color="auto"/>
                    <w:right w:val="none" w:sz="0" w:space="0" w:color="auto"/>
                  </w:divBdr>
                  <w:divsChild>
                    <w:div w:id="15849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sChild>
                            <w:div w:id="1969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sChild>
                    <w:div w:id="21049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1181898069">
          <w:marLeft w:val="0"/>
          <w:marRight w:val="0"/>
          <w:marTop w:val="0"/>
          <w:marBottom w:val="0"/>
          <w:divBdr>
            <w:top w:val="none" w:sz="0" w:space="0" w:color="auto"/>
            <w:left w:val="none" w:sz="0" w:space="0" w:color="auto"/>
            <w:bottom w:val="none" w:sz="0" w:space="0" w:color="auto"/>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1778598857">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810561200">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 w:id="2012953536">
          <w:marLeft w:val="0"/>
          <w:marRight w:val="0"/>
          <w:marTop w:val="30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2023775030">
          <w:marLeft w:val="0"/>
          <w:marRight w:val="0"/>
          <w:marTop w:val="0"/>
          <w:marBottom w:val="0"/>
          <w:divBdr>
            <w:top w:val="none" w:sz="0" w:space="0" w:color="auto"/>
            <w:left w:val="none" w:sz="0" w:space="0" w:color="auto"/>
            <w:bottom w:val="none" w:sz="0" w:space="0" w:color="auto"/>
            <w:right w:val="none" w:sz="0" w:space="0" w:color="auto"/>
          </w:divBdr>
          <w:divsChild>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4919">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2139756367">
          <w:marLeft w:val="0"/>
          <w:marRight w:val="0"/>
          <w:marTop w:val="0"/>
          <w:marBottom w:val="0"/>
          <w:divBdr>
            <w:top w:val="none" w:sz="0" w:space="0" w:color="auto"/>
            <w:left w:val="none" w:sz="0" w:space="0" w:color="auto"/>
            <w:bottom w:val="none" w:sz="0" w:space="0" w:color="auto"/>
            <w:right w:val="none" w:sz="0" w:space="0" w:color="auto"/>
          </w:divBdr>
          <w:divsChild>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sChild>
                        <w:div w:id="2089115518">
                          <w:marLeft w:val="0"/>
                          <w:marRight w:val="0"/>
                          <w:marTop w:val="0"/>
                          <w:marBottom w:val="0"/>
                          <w:divBdr>
                            <w:top w:val="none" w:sz="0" w:space="0" w:color="auto"/>
                            <w:left w:val="none" w:sz="0" w:space="0" w:color="auto"/>
                            <w:bottom w:val="none" w:sz="0" w:space="0" w:color="auto"/>
                            <w:right w:val="none" w:sz="0" w:space="0" w:color="auto"/>
                          </w:divBdr>
                          <w:divsChild>
                            <w:div w:id="81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sChild>
                        <w:div w:id="1966345353">
                          <w:marLeft w:val="0"/>
                          <w:marRight w:val="0"/>
                          <w:marTop w:val="0"/>
                          <w:marBottom w:val="0"/>
                          <w:divBdr>
                            <w:top w:val="none" w:sz="0" w:space="0" w:color="auto"/>
                            <w:left w:val="none" w:sz="0" w:space="0" w:color="auto"/>
                            <w:bottom w:val="none" w:sz="0" w:space="0" w:color="auto"/>
                            <w:right w:val="none" w:sz="0" w:space="0" w:color="auto"/>
                          </w:divBdr>
                          <w:divsChild>
                            <w:div w:id="1584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sChild>
                    <w:div w:id="19924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834443811">
          <w:marLeft w:val="0"/>
          <w:marRight w:val="0"/>
          <w:marTop w:val="0"/>
          <w:marBottom w:val="0"/>
          <w:divBdr>
            <w:top w:val="none" w:sz="0" w:space="0" w:color="auto"/>
            <w:left w:val="none" w:sz="0" w:space="0" w:color="auto"/>
            <w:bottom w:val="none" w:sz="0" w:space="0" w:color="auto"/>
            <w:right w:val="none" w:sz="0" w:space="0" w:color="auto"/>
          </w:divBdr>
        </w:div>
        <w:div w:id="1317415815">
          <w:marLeft w:val="0"/>
          <w:marRight w:val="0"/>
          <w:marTop w:val="30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sChild>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2015759583">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1004741659">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sChild>
                <w:div w:id="2114013191">
                  <w:marLeft w:val="0"/>
                  <w:marRight w:val="0"/>
                  <w:marTop w:val="0"/>
                  <w:marBottom w:val="0"/>
                  <w:divBdr>
                    <w:top w:val="none" w:sz="0" w:space="0" w:color="auto"/>
                    <w:left w:val="none" w:sz="0" w:space="0" w:color="auto"/>
                    <w:bottom w:val="none" w:sz="0" w:space="0" w:color="auto"/>
                    <w:right w:val="none" w:sz="0" w:space="0" w:color="auto"/>
                  </w:divBdr>
                  <w:divsChild>
                    <w:div w:id="2754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3466">
          <w:marLeft w:val="0"/>
          <w:marRight w:val="0"/>
          <w:marTop w:val="0"/>
          <w:marBottom w:val="0"/>
          <w:divBdr>
            <w:top w:val="none" w:sz="0" w:space="0" w:color="auto"/>
            <w:left w:val="none" w:sz="0" w:space="0" w:color="auto"/>
            <w:bottom w:val="none" w:sz="0" w:space="0" w:color="auto"/>
            <w:right w:val="none" w:sz="0" w:space="0" w:color="auto"/>
          </w:divBdr>
          <w:divsChild>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sChild>
                        <w:div w:id="2043482932">
                          <w:marLeft w:val="0"/>
                          <w:marRight w:val="0"/>
                          <w:marTop w:val="0"/>
                          <w:marBottom w:val="0"/>
                          <w:divBdr>
                            <w:top w:val="none" w:sz="0" w:space="0" w:color="auto"/>
                            <w:left w:val="none" w:sz="0" w:space="0" w:color="auto"/>
                            <w:bottom w:val="none" w:sz="0" w:space="0" w:color="auto"/>
                            <w:right w:val="none" w:sz="0" w:space="0" w:color="auto"/>
                          </w:divBdr>
                          <w:divsChild>
                            <w:div w:id="10138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 w:id="21060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sChild>
            <w:div w:id="1995719726">
              <w:marLeft w:val="0"/>
              <w:marRight w:val="0"/>
              <w:marTop w:val="0"/>
              <w:marBottom w:val="0"/>
              <w:divBdr>
                <w:top w:val="none" w:sz="0" w:space="0" w:color="auto"/>
                <w:left w:val="none" w:sz="0" w:space="0" w:color="auto"/>
                <w:bottom w:val="none" w:sz="0" w:space="0" w:color="auto"/>
                <w:right w:val="none" w:sz="0" w:space="0" w:color="auto"/>
              </w:divBdr>
            </w:div>
          </w:divsChild>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 w:id="2037997874">
          <w:marLeft w:val="0"/>
          <w:marRight w:val="0"/>
          <w:marTop w:val="30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1580556741">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8148803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sChild>
                            <w:div w:id="21002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904683691">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 w:id="833958097">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sChild>
                    <w:div w:id="2048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 w:id="1988433917">
          <w:marLeft w:val="0"/>
          <w:marRight w:val="0"/>
          <w:marTop w:val="30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1151">
          <w:marLeft w:val="0"/>
          <w:marRight w:val="0"/>
          <w:marTop w:val="0"/>
          <w:marBottom w:val="0"/>
          <w:divBdr>
            <w:top w:val="none" w:sz="0" w:space="0" w:color="auto"/>
            <w:left w:val="none" w:sz="0" w:space="0" w:color="auto"/>
            <w:bottom w:val="none" w:sz="0" w:space="0" w:color="auto"/>
            <w:right w:val="none" w:sz="0" w:space="0" w:color="auto"/>
          </w:divBdr>
          <w:divsChild>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1681154560">
          <w:marLeft w:val="0"/>
          <w:marRight w:val="0"/>
          <w:marTop w:val="0"/>
          <w:marBottom w:val="0"/>
          <w:divBdr>
            <w:top w:val="none" w:sz="0" w:space="0" w:color="auto"/>
            <w:left w:val="none" w:sz="0" w:space="0" w:color="auto"/>
            <w:bottom w:val="none" w:sz="0" w:space="0" w:color="auto"/>
            <w:right w:val="none" w:sz="0" w:space="0" w:color="auto"/>
          </w:divBdr>
        </w:div>
        <w:div w:id="922228770">
          <w:marLeft w:val="0"/>
          <w:marRight w:val="0"/>
          <w:marTop w:val="30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sChild>
                            <w:div w:id="20769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637487295">
          <w:marLeft w:val="0"/>
          <w:marRight w:val="0"/>
          <w:marTop w:val="0"/>
          <w:marBottom w:val="0"/>
          <w:divBdr>
            <w:top w:val="none" w:sz="0" w:space="0" w:color="auto"/>
            <w:left w:val="none" w:sz="0" w:space="0" w:color="auto"/>
            <w:bottom w:val="none" w:sz="0" w:space="0" w:color="auto"/>
            <w:right w:val="none" w:sz="0" w:space="0" w:color="auto"/>
          </w:divBdr>
        </w:div>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sChild>
            <w:div w:id="2143959919">
              <w:marLeft w:val="0"/>
              <w:marRight w:val="0"/>
              <w:marTop w:val="0"/>
              <w:marBottom w:val="0"/>
              <w:divBdr>
                <w:top w:val="none" w:sz="0" w:space="0" w:color="auto"/>
                <w:left w:val="none" w:sz="0" w:space="0" w:color="auto"/>
                <w:bottom w:val="none" w:sz="0" w:space="0" w:color="auto"/>
                <w:right w:val="none" w:sz="0" w:space="0" w:color="auto"/>
              </w:divBdr>
              <w:divsChild>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1972858011">
          <w:marLeft w:val="0"/>
          <w:marRight w:val="0"/>
          <w:marTop w:val="0"/>
          <w:marBottom w:val="0"/>
          <w:divBdr>
            <w:top w:val="none" w:sz="0" w:space="0" w:color="auto"/>
            <w:left w:val="none" w:sz="0" w:space="0" w:color="auto"/>
            <w:bottom w:val="none" w:sz="0" w:space="0" w:color="auto"/>
            <w:right w:val="none" w:sz="0" w:space="0" w:color="auto"/>
          </w:divBdr>
          <w:divsChild>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sChild>
            <w:div w:id="2001158788">
              <w:marLeft w:val="0"/>
              <w:marRight w:val="0"/>
              <w:marTop w:val="0"/>
              <w:marBottom w:val="0"/>
              <w:divBdr>
                <w:top w:val="none" w:sz="0" w:space="0" w:color="auto"/>
                <w:left w:val="none" w:sz="0" w:space="0" w:color="auto"/>
                <w:bottom w:val="none" w:sz="0" w:space="0" w:color="auto"/>
                <w:right w:val="none" w:sz="0" w:space="0" w:color="auto"/>
              </w:divBdr>
            </w:div>
          </w:divsChild>
        </w:div>
        <w:div w:id="2068798506">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525292446">
          <w:marLeft w:val="0"/>
          <w:marRight w:val="0"/>
          <w:marTop w:val="0"/>
          <w:marBottom w:val="0"/>
          <w:divBdr>
            <w:top w:val="none" w:sz="0" w:space="0" w:color="auto"/>
            <w:left w:val="none" w:sz="0" w:space="0" w:color="auto"/>
            <w:bottom w:val="none" w:sz="0" w:space="0" w:color="auto"/>
            <w:right w:val="none" w:sz="0" w:space="0" w:color="auto"/>
          </w:divBdr>
        </w:div>
        <w:div w:id="333731368">
          <w:marLeft w:val="0"/>
          <w:marRight w:val="0"/>
          <w:marTop w:val="30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sChild>
                    <w:div w:id="20611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sChild>
                    <w:div w:id="20777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2135053769">
          <w:marLeft w:val="0"/>
          <w:marRight w:val="0"/>
          <w:marTop w:val="0"/>
          <w:marBottom w:val="0"/>
          <w:divBdr>
            <w:top w:val="none" w:sz="0" w:space="0" w:color="auto"/>
            <w:left w:val="none" w:sz="0" w:space="0" w:color="auto"/>
            <w:bottom w:val="none" w:sz="0" w:space="0" w:color="auto"/>
            <w:right w:val="none" w:sz="0" w:space="0" w:color="auto"/>
          </w:divBdr>
          <w:divsChild>
            <w:div w:id="1974872160">
              <w:marLeft w:val="0"/>
              <w:marRight w:val="0"/>
              <w:marTop w:val="0"/>
              <w:marBottom w:val="0"/>
              <w:divBdr>
                <w:top w:val="none" w:sz="0" w:space="0" w:color="auto"/>
                <w:left w:val="none" w:sz="0" w:space="0" w:color="auto"/>
                <w:bottom w:val="none" w:sz="0" w:space="0" w:color="auto"/>
                <w:right w:val="none" w:sz="0" w:space="0" w:color="auto"/>
              </w:divBdr>
              <w:divsChild>
                <w:div w:id="1278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1853913950">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303458550">
          <w:marLeft w:val="0"/>
          <w:marRight w:val="0"/>
          <w:marTop w:val="0"/>
          <w:marBottom w:val="0"/>
          <w:divBdr>
            <w:top w:val="none" w:sz="0" w:space="0" w:color="auto"/>
            <w:left w:val="none" w:sz="0" w:space="0" w:color="auto"/>
            <w:bottom w:val="none" w:sz="0" w:space="0" w:color="auto"/>
            <w:right w:val="none" w:sz="0" w:space="0" w:color="auto"/>
          </w:divBdr>
          <w:divsChild>
            <w:div w:id="2088918258">
              <w:marLeft w:val="0"/>
              <w:marRight w:val="0"/>
              <w:marTop w:val="0"/>
              <w:marBottom w:val="0"/>
              <w:divBdr>
                <w:top w:val="none" w:sz="0" w:space="0" w:color="auto"/>
                <w:left w:val="none" w:sz="0" w:space="0" w:color="auto"/>
                <w:bottom w:val="none" w:sz="0" w:space="0" w:color="auto"/>
                <w:right w:val="none" w:sz="0" w:space="0" w:color="auto"/>
              </w:divBdr>
              <w:divsChild>
                <w:div w:id="1114640495">
                  <w:marLeft w:val="0"/>
                  <w:marRight w:val="0"/>
                  <w:marTop w:val="0"/>
                  <w:marBottom w:val="0"/>
                  <w:divBdr>
                    <w:top w:val="none" w:sz="0" w:space="0" w:color="auto"/>
                    <w:left w:val="none" w:sz="0" w:space="0" w:color="auto"/>
                    <w:bottom w:val="none" w:sz="0" w:space="0" w:color="auto"/>
                    <w:right w:val="none" w:sz="0" w:space="0" w:color="auto"/>
                  </w:divBdr>
                  <w:divsChild>
                    <w:div w:id="20062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1369573583">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sChild>
            <w:div w:id="2033919654">
              <w:marLeft w:val="0"/>
              <w:marRight w:val="0"/>
              <w:marTop w:val="0"/>
              <w:marBottom w:val="0"/>
              <w:divBdr>
                <w:top w:val="none" w:sz="0" w:space="0" w:color="auto"/>
                <w:left w:val="none" w:sz="0" w:space="0" w:color="auto"/>
                <w:bottom w:val="none" w:sz="0" w:space="0" w:color="auto"/>
                <w:right w:val="none" w:sz="0" w:space="0" w:color="auto"/>
              </w:divBdr>
              <w:divsChild>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sChild>
            <w:div w:id="2107338607">
              <w:marLeft w:val="0"/>
              <w:marRight w:val="0"/>
              <w:marTop w:val="0"/>
              <w:marBottom w:val="0"/>
              <w:divBdr>
                <w:top w:val="none" w:sz="0" w:space="0" w:color="auto"/>
                <w:left w:val="none" w:sz="0" w:space="0" w:color="auto"/>
                <w:bottom w:val="none" w:sz="0" w:space="0" w:color="auto"/>
                <w:right w:val="none" w:sz="0" w:space="0" w:color="auto"/>
              </w:divBdr>
            </w:div>
          </w:divsChild>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sChild>
            <w:div w:id="1958953270">
              <w:marLeft w:val="0"/>
              <w:marRight w:val="0"/>
              <w:marTop w:val="0"/>
              <w:marBottom w:val="0"/>
              <w:divBdr>
                <w:top w:val="none" w:sz="0" w:space="0" w:color="auto"/>
                <w:left w:val="none" w:sz="0" w:space="0" w:color="auto"/>
                <w:bottom w:val="none" w:sz="0" w:space="0" w:color="auto"/>
                <w:right w:val="none" w:sz="0" w:space="0" w:color="auto"/>
              </w:divBdr>
              <w:divsChild>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sChild>
                    <w:div w:id="2037079145">
                      <w:marLeft w:val="0"/>
                      <w:marRight w:val="0"/>
                      <w:marTop w:val="0"/>
                      <w:marBottom w:val="0"/>
                      <w:divBdr>
                        <w:top w:val="none" w:sz="0" w:space="0" w:color="auto"/>
                        <w:left w:val="none" w:sz="0" w:space="0" w:color="auto"/>
                        <w:bottom w:val="none" w:sz="0" w:space="0" w:color="auto"/>
                        <w:right w:val="none" w:sz="0" w:space="0" w:color="auto"/>
                      </w:divBdr>
                      <w:divsChild>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1478108446">
          <w:marLeft w:val="0"/>
          <w:marRight w:val="0"/>
          <w:marTop w:val="0"/>
          <w:marBottom w:val="0"/>
          <w:divBdr>
            <w:top w:val="none" w:sz="0" w:space="0" w:color="auto"/>
            <w:left w:val="none" w:sz="0" w:space="0" w:color="auto"/>
            <w:bottom w:val="none" w:sz="0" w:space="0" w:color="auto"/>
            <w:right w:val="none" w:sz="0" w:space="0" w:color="auto"/>
          </w:divBdr>
        </w:div>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2067213613">
          <w:marLeft w:val="0"/>
          <w:marRight w:val="0"/>
          <w:marTop w:val="0"/>
          <w:marBottom w:val="0"/>
          <w:divBdr>
            <w:top w:val="none" w:sz="0" w:space="0" w:color="auto"/>
            <w:left w:val="none" w:sz="0" w:space="0" w:color="auto"/>
            <w:bottom w:val="none" w:sz="0" w:space="0" w:color="auto"/>
            <w:right w:val="none" w:sz="0" w:space="0" w:color="auto"/>
          </w:divBdr>
          <w:divsChild>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sChild>
                    <w:div w:id="20268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sChild>
                <w:div w:id="1958365689">
                  <w:marLeft w:val="0"/>
                  <w:marRight w:val="0"/>
                  <w:marTop w:val="0"/>
                  <w:marBottom w:val="0"/>
                  <w:divBdr>
                    <w:top w:val="none" w:sz="0" w:space="0" w:color="auto"/>
                    <w:left w:val="none" w:sz="0" w:space="0" w:color="auto"/>
                    <w:bottom w:val="none" w:sz="0" w:space="0" w:color="auto"/>
                    <w:right w:val="none" w:sz="0" w:space="0" w:color="auto"/>
                  </w:divBdr>
                  <w:divsChild>
                    <w:div w:id="486358614">
                      <w:marLeft w:val="0"/>
                      <w:marRight w:val="0"/>
                      <w:marTop w:val="0"/>
                      <w:marBottom w:val="0"/>
                      <w:divBdr>
                        <w:top w:val="none" w:sz="0" w:space="0" w:color="auto"/>
                        <w:left w:val="none" w:sz="0" w:space="0" w:color="auto"/>
                        <w:bottom w:val="none" w:sz="0" w:space="0" w:color="auto"/>
                        <w:right w:val="none" w:sz="0" w:space="0" w:color="auto"/>
                      </w:divBdr>
                      <w:divsChild>
                        <w:div w:id="2119517406">
                          <w:marLeft w:val="0"/>
                          <w:marRight w:val="0"/>
                          <w:marTop w:val="0"/>
                          <w:marBottom w:val="0"/>
                          <w:divBdr>
                            <w:top w:val="none" w:sz="0" w:space="0" w:color="auto"/>
                            <w:left w:val="none" w:sz="0" w:space="0" w:color="auto"/>
                            <w:bottom w:val="none" w:sz="0" w:space="0" w:color="auto"/>
                            <w:right w:val="none" w:sz="0" w:space="0" w:color="auto"/>
                          </w:divBdr>
                          <w:divsChild>
                            <w:div w:id="2069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 w:id="539630120">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sChild>
                    <w:div w:id="2106680573">
                      <w:marLeft w:val="0"/>
                      <w:marRight w:val="0"/>
                      <w:marTop w:val="0"/>
                      <w:marBottom w:val="0"/>
                      <w:divBdr>
                        <w:top w:val="none" w:sz="0" w:space="0" w:color="auto"/>
                        <w:left w:val="none" w:sz="0" w:space="0" w:color="auto"/>
                        <w:bottom w:val="none" w:sz="0" w:space="0" w:color="auto"/>
                        <w:right w:val="none" w:sz="0" w:space="0" w:color="auto"/>
                      </w:divBdr>
                      <w:divsChild>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 w:id="136440179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1858958896">
          <w:marLeft w:val="0"/>
          <w:marRight w:val="0"/>
          <w:marTop w:val="0"/>
          <w:marBottom w:val="0"/>
          <w:divBdr>
            <w:top w:val="none" w:sz="0" w:space="0" w:color="auto"/>
            <w:left w:val="none" w:sz="0" w:space="0" w:color="auto"/>
            <w:bottom w:val="none" w:sz="0" w:space="0" w:color="auto"/>
            <w:right w:val="none" w:sz="0" w:space="0" w:color="auto"/>
          </w:divBdr>
          <w:divsChild>
            <w:div w:id="2057579579">
              <w:marLeft w:val="0"/>
              <w:marRight w:val="0"/>
              <w:marTop w:val="0"/>
              <w:marBottom w:val="0"/>
              <w:divBdr>
                <w:top w:val="none" w:sz="0" w:space="0" w:color="auto"/>
                <w:left w:val="none" w:sz="0" w:space="0" w:color="auto"/>
                <w:bottom w:val="none" w:sz="0" w:space="0" w:color="auto"/>
                <w:right w:val="none" w:sz="0" w:space="0" w:color="auto"/>
              </w:divBdr>
              <w:divsChild>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1686861224">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sChild>
        <w:div w:id="1982726947">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sChild>
            <w:div w:id="2050915620">
              <w:marLeft w:val="0"/>
              <w:marRight w:val="0"/>
              <w:marTop w:val="0"/>
              <w:marBottom w:val="0"/>
              <w:divBdr>
                <w:top w:val="none" w:sz="0" w:space="0" w:color="auto"/>
                <w:left w:val="none" w:sz="0" w:space="0" w:color="auto"/>
                <w:bottom w:val="none" w:sz="0" w:space="0" w:color="auto"/>
                <w:right w:val="none" w:sz="0" w:space="0" w:color="auto"/>
              </w:divBdr>
            </w:div>
          </w:divsChild>
        </w:div>
        <w:div w:id="2008513060">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1690987686">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2117553890">
          <w:marLeft w:val="0"/>
          <w:marRight w:val="0"/>
          <w:marTop w:val="0"/>
          <w:marBottom w:val="0"/>
          <w:divBdr>
            <w:top w:val="none" w:sz="0" w:space="0" w:color="auto"/>
            <w:left w:val="none" w:sz="0" w:space="0" w:color="auto"/>
            <w:bottom w:val="none" w:sz="0" w:space="0" w:color="auto"/>
            <w:right w:val="none" w:sz="0" w:space="0" w:color="auto"/>
          </w:divBdr>
          <w:divsChild>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sChild>
                    <w:div w:id="1970015480">
                      <w:marLeft w:val="0"/>
                      <w:marRight w:val="0"/>
                      <w:marTop w:val="0"/>
                      <w:marBottom w:val="0"/>
                      <w:divBdr>
                        <w:top w:val="none" w:sz="0" w:space="0" w:color="auto"/>
                        <w:left w:val="none" w:sz="0" w:space="0" w:color="auto"/>
                        <w:bottom w:val="none" w:sz="0" w:space="0" w:color="auto"/>
                        <w:right w:val="none" w:sz="0" w:space="0" w:color="auto"/>
                      </w:divBdr>
                      <w:divsChild>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sChild>
                <w:div w:id="2106686315">
                  <w:marLeft w:val="0"/>
                  <w:marRight w:val="0"/>
                  <w:marTop w:val="0"/>
                  <w:marBottom w:val="0"/>
                  <w:divBdr>
                    <w:top w:val="none" w:sz="0" w:space="0" w:color="auto"/>
                    <w:left w:val="none" w:sz="0" w:space="0" w:color="auto"/>
                    <w:bottom w:val="none" w:sz="0" w:space="0" w:color="auto"/>
                    <w:right w:val="none" w:sz="0" w:space="0" w:color="auto"/>
                  </w:divBdr>
                  <w:divsChild>
                    <w:div w:id="174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sChild>
                <w:div w:id="1999338661">
                  <w:marLeft w:val="0"/>
                  <w:marRight w:val="0"/>
                  <w:marTop w:val="0"/>
                  <w:marBottom w:val="0"/>
                  <w:divBdr>
                    <w:top w:val="none" w:sz="0" w:space="0" w:color="auto"/>
                    <w:left w:val="none" w:sz="0" w:space="0" w:color="auto"/>
                    <w:bottom w:val="none" w:sz="0" w:space="0" w:color="auto"/>
                    <w:right w:val="none" w:sz="0" w:space="0" w:color="auto"/>
                  </w:divBdr>
                  <w:divsChild>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sChild>
                    <w:div w:id="1968076423">
                      <w:marLeft w:val="0"/>
                      <w:marRight w:val="0"/>
                      <w:marTop w:val="0"/>
                      <w:marBottom w:val="0"/>
                      <w:divBdr>
                        <w:top w:val="none" w:sz="0" w:space="0" w:color="auto"/>
                        <w:left w:val="none" w:sz="0" w:space="0" w:color="auto"/>
                        <w:bottom w:val="none" w:sz="0" w:space="0" w:color="auto"/>
                        <w:right w:val="none" w:sz="0" w:space="0" w:color="auto"/>
                      </w:divBdr>
                      <w:divsChild>
                        <w:div w:id="815076156">
                          <w:marLeft w:val="0"/>
                          <w:marRight w:val="0"/>
                          <w:marTop w:val="0"/>
                          <w:marBottom w:val="0"/>
                          <w:divBdr>
                            <w:top w:val="none" w:sz="0" w:space="0" w:color="auto"/>
                            <w:left w:val="none" w:sz="0" w:space="0" w:color="auto"/>
                            <w:bottom w:val="none" w:sz="0" w:space="0" w:color="auto"/>
                            <w:right w:val="none" w:sz="0" w:space="0" w:color="auto"/>
                          </w:divBdr>
                          <w:divsChild>
                            <w:div w:id="2083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sChild>
                    <w:div w:id="2076472175">
                      <w:marLeft w:val="0"/>
                      <w:marRight w:val="0"/>
                      <w:marTop w:val="0"/>
                      <w:marBottom w:val="0"/>
                      <w:divBdr>
                        <w:top w:val="none" w:sz="0" w:space="0" w:color="auto"/>
                        <w:left w:val="none" w:sz="0" w:space="0" w:color="auto"/>
                        <w:bottom w:val="none" w:sz="0" w:space="0" w:color="auto"/>
                        <w:right w:val="none" w:sz="0" w:space="0" w:color="auto"/>
                      </w:divBdr>
                      <w:divsChild>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2076002438">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9791863">
          <w:marLeft w:val="0"/>
          <w:marRight w:val="0"/>
          <w:marTop w:val="0"/>
          <w:marBottom w:val="0"/>
          <w:divBdr>
            <w:top w:val="none" w:sz="0" w:space="0" w:color="auto"/>
            <w:left w:val="none" w:sz="0" w:space="0" w:color="auto"/>
            <w:bottom w:val="none" w:sz="0" w:space="0" w:color="auto"/>
            <w:right w:val="none" w:sz="0" w:space="0" w:color="auto"/>
          </w:divBdr>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2132018985">
          <w:marLeft w:val="0"/>
          <w:marRight w:val="0"/>
          <w:marTop w:val="0"/>
          <w:marBottom w:val="0"/>
          <w:divBdr>
            <w:top w:val="none" w:sz="0" w:space="0" w:color="auto"/>
            <w:left w:val="none" w:sz="0" w:space="0" w:color="auto"/>
            <w:bottom w:val="none" w:sz="0" w:space="0" w:color="auto"/>
            <w:right w:val="none" w:sz="0" w:space="0" w:color="auto"/>
          </w:divBdr>
          <w:divsChild>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565">
          <w:marLeft w:val="0"/>
          <w:marRight w:val="0"/>
          <w:marTop w:val="0"/>
          <w:marBottom w:val="0"/>
          <w:divBdr>
            <w:top w:val="none" w:sz="0" w:space="0" w:color="auto"/>
            <w:left w:val="none" w:sz="0" w:space="0" w:color="auto"/>
            <w:bottom w:val="none" w:sz="0" w:space="0" w:color="auto"/>
            <w:right w:val="none" w:sz="0" w:space="0" w:color="auto"/>
          </w:divBdr>
          <w:divsChild>
            <w:div w:id="2099477995">
              <w:marLeft w:val="0"/>
              <w:marRight w:val="0"/>
              <w:marTop w:val="0"/>
              <w:marBottom w:val="0"/>
              <w:divBdr>
                <w:top w:val="none" w:sz="0" w:space="0" w:color="auto"/>
                <w:left w:val="none" w:sz="0" w:space="0" w:color="auto"/>
                <w:bottom w:val="none" w:sz="0" w:space="0" w:color="auto"/>
                <w:right w:val="none" w:sz="0" w:space="0" w:color="auto"/>
              </w:divBdr>
              <w:divsChild>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1381972789">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1870801347">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8874670">
      <w:bodyDiv w:val="1"/>
      <w:marLeft w:val="0"/>
      <w:marRight w:val="0"/>
      <w:marTop w:val="0"/>
      <w:marBottom w:val="0"/>
      <w:divBdr>
        <w:top w:val="none" w:sz="0" w:space="0" w:color="auto"/>
        <w:left w:val="none" w:sz="0" w:space="0" w:color="auto"/>
        <w:bottom w:val="none" w:sz="0" w:space="0" w:color="auto"/>
        <w:right w:val="none" w:sz="0" w:space="0" w:color="auto"/>
      </w:divBdr>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259359">
      <w:bodyDiv w:val="1"/>
      <w:marLeft w:val="0"/>
      <w:marRight w:val="0"/>
      <w:marTop w:val="0"/>
      <w:marBottom w:val="0"/>
      <w:divBdr>
        <w:top w:val="none" w:sz="0" w:space="0" w:color="auto"/>
        <w:left w:val="none" w:sz="0" w:space="0" w:color="auto"/>
        <w:bottom w:val="none" w:sz="0" w:space="0" w:color="auto"/>
        <w:right w:val="none" w:sz="0" w:space="0" w:color="auto"/>
      </w:divBdr>
    </w:div>
    <w:div w:id="1979335415">
      <w:bodyDiv w:val="1"/>
      <w:marLeft w:val="0"/>
      <w:marRight w:val="0"/>
      <w:marTop w:val="0"/>
      <w:marBottom w:val="0"/>
      <w:divBdr>
        <w:top w:val="none" w:sz="0" w:space="0" w:color="auto"/>
        <w:left w:val="none" w:sz="0" w:space="0" w:color="auto"/>
        <w:bottom w:val="none" w:sz="0" w:space="0" w:color="auto"/>
        <w:right w:val="none" w:sz="0" w:space="0" w:color="auto"/>
      </w:divBdr>
      <w:divsChild>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sChild>
                        <w:div w:id="2035886630">
                          <w:marLeft w:val="0"/>
                          <w:marRight w:val="0"/>
                          <w:marTop w:val="0"/>
                          <w:marBottom w:val="0"/>
                          <w:divBdr>
                            <w:top w:val="none" w:sz="0" w:space="0" w:color="auto"/>
                            <w:left w:val="none" w:sz="0" w:space="0" w:color="auto"/>
                            <w:bottom w:val="none" w:sz="0" w:space="0" w:color="auto"/>
                            <w:right w:val="none" w:sz="0" w:space="0" w:color="auto"/>
                          </w:divBdr>
                          <w:divsChild>
                            <w:div w:id="20778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399472">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786756">
      <w:bodyDiv w:val="1"/>
      <w:marLeft w:val="0"/>
      <w:marRight w:val="0"/>
      <w:marTop w:val="0"/>
      <w:marBottom w:val="0"/>
      <w:divBdr>
        <w:top w:val="none" w:sz="0" w:space="0" w:color="auto"/>
        <w:left w:val="none" w:sz="0" w:space="0" w:color="auto"/>
        <w:bottom w:val="none" w:sz="0" w:space="0" w:color="auto"/>
        <w:right w:val="none" w:sz="0" w:space="0" w:color="auto"/>
      </w:divBdr>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9403">
      <w:bodyDiv w:val="1"/>
      <w:marLeft w:val="0"/>
      <w:marRight w:val="0"/>
      <w:marTop w:val="0"/>
      <w:marBottom w:val="0"/>
      <w:divBdr>
        <w:top w:val="none" w:sz="0" w:space="0" w:color="auto"/>
        <w:left w:val="none" w:sz="0" w:space="0" w:color="auto"/>
        <w:bottom w:val="none" w:sz="0" w:space="0" w:color="auto"/>
        <w:right w:val="none" w:sz="0" w:space="0" w:color="auto"/>
      </w:divBdr>
      <w:divsChild>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381286">
      <w:bodyDiv w:val="1"/>
      <w:marLeft w:val="0"/>
      <w:marRight w:val="0"/>
      <w:marTop w:val="0"/>
      <w:marBottom w:val="0"/>
      <w:divBdr>
        <w:top w:val="none" w:sz="0" w:space="0" w:color="auto"/>
        <w:left w:val="none" w:sz="0" w:space="0" w:color="auto"/>
        <w:bottom w:val="none" w:sz="0" w:space="0" w:color="auto"/>
        <w:right w:val="none" w:sz="0" w:space="0" w:color="auto"/>
      </w:divBdr>
      <w:divsChild>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61634">
      <w:bodyDiv w:val="1"/>
      <w:marLeft w:val="0"/>
      <w:marRight w:val="0"/>
      <w:marTop w:val="0"/>
      <w:marBottom w:val="0"/>
      <w:divBdr>
        <w:top w:val="none" w:sz="0" w:space="0" w:color="auto"/>
        <w:left w:val="none" w:sz="0" w:space="0" w:color="auto"/>
        <w:bottom w:val="none" w:sz="0" w:space="0" w:color="auto"/>
        <w:right w:val="none" w:sz="0" w:space="0" w:color="auto"/>
      </w:divBdr>
      <w:divsChild>
        <w:div w:id="2080907669">
          <w:marLeft w:val="0"/>
          <w:marRight w:val="0"/>
          <w:marTop w:val="0"/>
          <w:marBottom w:val="0"/>
          <w:divBdr>
            <w:top w:val="none" w:sz="0" w:space="0" w:color="auto"/>
            <w:left w:val="none" w:sz="0" w:space="0" w:color="auto"/>
            <w:bottom w:val="none" w:sz="0" w:space="0" w:color="auto"/>
            <w:right w:val="none" w:sz="0" w:space="0" w:color="auto"/>
          </w:divBdr>
          <w:divsChild>
            <w:div w:id="786047512">
              <w:marLeft w:val="0"/>
              <w:marRight w:val="0"/>
              <w:marTop w:val="0"/>
              <w:marBottom w:val="0"/>
              <w:divBdr>
                <w:top w:val="none" w:sz="0" w:space="0" w:color="auto"/>
                <w:left w:val="none" w:sz="0" w:space="0" w:color="auto"/>
                <w:bottom w:val="none" w:sz="0" w:space="0" w:color="auto"/>
                <w:right w:val="none" w:sz="0" w:space="0" w:color="auto"/>
              </w:divBdr>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71639">
      <w:bodyDiv w:val="1"/>
      <w:marLeft w:val="0"/>
      <w:marRight w:val="0"/>
      <w:marTop w:val="0"/>
      <w:marBottom w:val="0"/>
      <w:divBdr>
        <w:top w:val="none" w:sz="0" w:space="0" w:color="auto"/>
        <w:left w:val="none" w:sz="0" w:space="0" w:color="auto"/>
        <w:bottom w:val="none" w:sz="0" w:space="0" w:color="auto"/>
        <w:right w:val="none" w:sz="0" w:space="0" w:color="auto"/>
      </w:divBdr>
      <w:divsChild>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09748231">
      <w:bodyDiv w:val="1"/>
      <w:marLeft w:val="0"/>
      <w:marRight w:val="0"/>
      <w:marTop w:val="0"/>
      <w:marBottom w:val="0"/>
      <w:divBdr>
        <w:top w:val="none" w:sz="0" w:space="0" w:color="auto"/>
        <w:left w:val="none" w:sz="0" w:space="0" w:color="auto"/>
        <w:bottom w:val="none" w:sz="0" w:space="0" w:color="auto"/>
        <w:right w:val="none" w:sz="0" w:space="0" w:color="auto"/>
      </w:divBdr>
      <w:divsChild>
        <w:div w:id="1833452629">
          <w:marLeft w:val="0"/>
          <w:marRight w:val="0"/>
          <w:marTop w:val="0"/>
          <w:marBottom w:val="0"/>
          <w:divBdr>
            <w:top w:val="none" w:sz="0" w:space="0" w:color="auto"/>
            <w:left w:val="none" w:sz="0" w:space="0" w:color="auto"/>
            <w:bottom w:val="none" w:sz="0" w:space="0" w:color="auto"/>
            <w:right w:val="none" w:sz="0" w:space="0" w:color="auto"/>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995600409">
                  <w:marLeft w:val="0"/>
                  <w:marRight w:val="0"/>
                  <w:marTop w:val="0"/>
                  <w:marBottom w:val="0"/>
                  <w:divBdr>
                    <w:top w:val="none" w:sz="0" w:space="0" w:color="auto"/>
                    <w:left w:val="none" w:sz="0" w:space="0" w:color="auto"/>
                    <w:bottom w:val="none" w:sz="0" w:space="0" w:color="auto"/>
                    <w:right w:val="none" w:sz="0" w:space="0" w:color="auto"/>
                  </w:divBdr>
                  <w:divsChild>
                    <w:div w:id="2136213114">
                      <w:marLeft w:val="0"/>
                      <w:marRight w:val="0"/>
                      <w:marTop w:val="0"/>
                      <w:marBottom w:val="0"/>
                      <w:divBdr>
                        <w:top w:val="none" w:sz="0" w:space="0" w:color="auto"/>
                        <w:left w:val="none" w:sz="0" w:space="0" w:color="auto"/>
                        <w:bottom w:val="none" w:sz="0" w:space="0" w:color="auto"/>
                        <w:right w:val="none" w:sz="0" w:space="0" w:color="auto"/>
                      </w:divBdr>
                      <w:divsChild>
                        <w:div w:id="200939349">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0908253">
      <w:bodyDiv w:val="1"/>
      <w:marLeft w:val="0"/>
      <w:marRight w:val="0"/>
      <w:marTop w:val="0"/>
      <w:marBottom w:val="0"/>
      <w:divBdr>
        <w:top w:val="none" w:sz="0" w:space="0" w:color="auto"/>
        <w:left w:val="none" w:sz="0" w:space="0" w:color="auto"/>
        <w:bottom w:val="none" w:sz="0" w:space="0" w:color="auto"/>
        <w:right w:val="none" w:sz="0" w:space="0" w:color="auto"/>
      </w:divBdr>
      <w:divsChild>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480222367">
          <w:marLeft w:val="0"/>
          <w:marRight w:val="0"/>
          <w:marTop w:val="300"/>
          <w:marBottom w:val="0"/>
          <w:divBdr>
            <w:top w:val="none" w:sz="0" w:space="0" w:color="auto"/>
            <w:left w:val="none" w:sz="0" w:space="0" w:color="auto"/>
            <w:bottom w:val="none" w:sz="0" w:space="0" w:color="auto"/>
            <w:right w:val="none" w:sz="0" w:space="0" w:color="auto"/>
          </w:divBdr>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8922">
      <w:bodyDiv w:val="1"/>
      <w:marLeft w:val="0"/>
      <w:marRight w:val="0"/>
      <w:marTop w:val="0"/>
      <w:marBottom w:val="0"/>
      <w:divBdr>
        <w:top w:val="none" w:sz="0" w:space="0" w:color="auto"/>
        <w:left w:val="none" w:sz="0" w:space="0" w:color="auto"/>
        <w:bottom w:val="none" w:sz="0" w:space="0" w:color="auto"/>
        <w:right w:val="none" w:sz="0" w:space="0" w:color="auto"/>
      </w:divBdr>
      <w:divsChild>
        <w:div w:id="301891492">
          <w:marLeft w:val="0"/>
          <w:marRight w:val="0"/>
          <w:marTop w:val="0"/>
          <w:marBottom w:val="0"/>
          <w:divBdr>
            <w:top w:val="none" w:sz="0" w:space="0" w:color="auto"/>
            <w:left w:val="none" w:sz="0" w:space="0" w:color="auto"/>
            <w:bottom w:val="none" w:sz="0" w:space="0" w:color="auto"/>
            <w:right w:val="none" w:sz="0" w:space="0" w:color="auto"/>
          </w:divBdr>
        </w:div>
        <w:div w:id="799762639">
          <w:marLeft w:val="0"/>
          <w:marRight w:val="0"/>
          <w:marTop w:val="300"/>
          <w:marBottom w:val="0"/>
          <w:divBdr>
            <w:top w:val="none" w:sz="0" w:space="0" w:color="auto"/>
            <w:left w:val="none" w:sz="0" w:space="0" w:color="auto"/>
            <w:bottom w:val="none" w:sz="0" w:space="0" w:color="auto"/>
            <w:right w:val="none" w:sz="0" w:space="0" w:color="auto"/>
          </w:divBdr>
        </w:div>
      </w:divsChild>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7923594">
      <w:bodyDiv w:val="1"/>
      <w:marLeft w:val="0"/>
      <w:marRight w:val="0"/>
      <w:marTop w:val="0"/>
      <w:marBottom w:val="0"/>
      <w:divBdr>
        <w:top w:val="none" w:sz="0" w:space="0" w:color="auto"/>
        <w:left w:val="none" w:sz="0" w:space="0" w:color="auto"/>
        <w:bottom w:val="none" w:sz="0" w:space="0" w:color="auto"/>
        <w:right w:val="none" w:sz="0" w:space="0" w:color="auto"/>
      </w:divBdr>
      <w:divsChild>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sChild>
                <w:div w:id="1978874575">
                  <w:marLeft w:val="0"/>
                  <w:marRight w:val="0"/>
                  <w:marTop w:val="0"/>
                  <w:marBottom w:val="0"/>
                  <w:divBdr>
                    <w:top w:val="none" w:sz="0" w:space="0" w:color="auto"/>
                    <w:left w:val="none" w:sz="0" w:space="0" w:color="auto"/>
                    <w:bottom w:val="none" w:sz="0" w:space="0" w:color="auto"/>
                    <w:right w:val="none" w:sz="0" w:space="0" w:color="auto"/>
                  </w:divBdr>
                  <w:divsChild>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2852591">
      <w:bodyDiv w:val="1"/>
      <w:marLeft w:val="0"/>
      <w:marRight w:val="0"/>
      <w:marTop w:val="0"/>
      <w:marBottom w:val="0"/>
      <w:divBdr>
        <w:top w:val="none" w:sz="0" w:space="0" w:color="auto"/>
        <w:left w:val="none" w:sz="0" w:space="0" w:color="auto"/>
        <w:bottom w:val="none" w:sz="0" w:space="0" w:color="auto"/>
        <w:right w:val="none" w:sz="0" w:space="0" w:color="auto"/>
      </w:divBdr>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780277">
      <w:bodyDiv w:val="1"/>
      <w:marLeft w:val="0"/>
      <w:marRight w:val="0"/>
      <w:marTop w:val="0"/>
      <w:marBottom w:val="0"/>
      <w:divBdr>
        <w:top w:val="none" w:sz="0" w:space="0" w:color="auto"/>
        <w:left w:val="none" w:sz="0" w:space="0" w:color="auto"/>
        <w:bottom w:val="none" w:sz="0" w:space="0" w:color="auto"/>
        <w:right w:val="none" w:sz="0" w:space="0" w:color="auto"/>
      </w:divBdr>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012291">
      <w:bodyDiv w:val="1"/>
      <w:marLeft w:val="0"/>
      <w:marRight w:val="0"/>
      <w:marTop w:val="0"/>
      <w:marBottom w:val="0"/>
      <w:divBdr>
        <w:top w:val="none" w:sz="0" w:space="0" w:color="auto"/>
        <w:left w:val="none" w:sz="0" w:space="0" w:color="auto"/>
        <w:bottom w:val="none" w:sz="0" w:space="0" w:color="auto"/>
        <w:right w:val="none" w:sz="0" w:space="0" w:color="auto"/>
      </w:divBdr>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214920">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716586">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25">
      <w:bodyDiv w:val="1"/>
      <w:marLeft w:val="0"/>
      <w:marRight w:val="0"/>
      <w:marTop w:val="0"/>
      <w:marBottom w:val="0"/>
      <w:divBdr>
        <w:top w:val="none" w:sz="0" w:space="0" w:color="auto"/>
        <w:left w:val="none" w:sz="0" w:space="0" w:color="auto"/>
        <w:bottom w:val="none" w:sz="0" w:space="0" w:color="auto"/>
        <w:right w:val="none" w:sz="0" w:space="0" w:color="auto"/>
      </w:divBdr>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17093">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3892722">
      <w:bodyDiv w:val="1"/>
      <w:marLeft w:val="0"/>
      <w:marRight w:val="0"/>
      <w:marTop w:val="0"/>
      <w:marBottom w:val="0"/>
      <w:divBdr>
        <w:top w:val="none" w:sz="0" w:space="0" w:color="auto"/>
        <w:left w:val="none" w:sz="0" w:space="0" w:color="auto"/>
        <w:bottom w:val="none" w:sz="0" w:space="0" w:color="auto"/>
        <w:right w:val="none" w:sz="0" w:space="0" w:color="auto"/>
      </w:divBdr>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1587">
      <w:bodyDiv w:val="1"/>
      <w:marLeft w:val="0"/>
      <w:marRight w:val="0"/>
      <w:marTop w:val="0"/>
      <w:marBottom w:val="0"/>
      <w:divBdr>
        <w:top w:val="none" w:sz="0" w:space="0" w:color="auto"/>
        <w:left w:val="none" w:sz="0" w:space="0" w:color="auto"/>
        <w:bottom w:val="none" w:sz="0" w:space="0" w:color="auto"/>
        <w:right w:val="none" w:sz="0" w:space="0" w:color="auto"/>
      </w:divBdr>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336355">
      <w:bodyDiv w:val="1"/>
      <w:marLeft w:val="0"/>
      <w:marRight w:val="0"/>
      <w:marTop w:val="0"/>
      <w:marBottom w:val="0"/>
      <w:divBdr>
        <w:top w:val="none" w:sz="0" w:space="0" w:color="auto"/>
        <w:left w:val="none" w:sz="0" w:space="0" w:color="auto"/>
        <w:bottom w:val="none" w:sz="0" w:space="0" w:color="auto"/>
        <w:right w:val="none" w:sz="0" w:space="0" w:color="auto"/>
      </w:divBdr>
      <w:divsChild>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372991">
      <w:bodyDiv w:val="1"/>
      <w:marLeft w:val="0"/>
      <w:marRight w:val="0"/>
      <w:marTop w:val="0"/>
      <w:marBottom w:val="0"/>
      <w:divBdr>
        <w:top w:val="none" w:sz="0" w:space="0" w:color="auto"/>
        <w:left w:val="none" w:sz="0" w:space="0" w:color="auto"/>
        <w:bottom w:val="none" w:sz="0" w:space="0" w:color="auto"/>
        <w:right w:val="none" w:sz="0" w:space="0" w:color="auto"/>
      </w:divBdr>
    </w:div>
    <w:div w:id="2051605198">
      <w:bodyDiv w:val="1"/>
      <w:marLeft w:val="0"/>
      <w:marRight w:val="0"/>
      <w:marTop w:val="0"/>
      <w:marBottom w:val="0"/>
      <w:divBdr>
        <w:top w:val="none" w:sz="0" w:space="0" w:color="auto"/>
        <w:left w:val="none" w:sz="0" w:space="0" w:color="auto"/>
        <w:bottom w:val="none" w:sz="0" w:space="0" w:color="auto"/>
        <w:right w:val="none" w:sz="0" w:space="0" w:color="auto"/>
      </w:divBdr>
      <w:divsChild>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109401">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461607">
      <w:bodyDiv w:val="1"/>
      <w:marLeft w:val="0"/>
      <w:marRight w:val="0"/>
      <w:marTop w:val="0"/>
      <w:marBottom w:val="0"/>
      <w:divBdr>
        <w:top w:val="none" w:sz="0" w:space="0" w:color="auto"/>
        <w:left w:val="none" w:sz="0" w:space="0" w:color="auto"/>
        <w:bottom w:val="none" w:sz="0" w:space="0" w:color="auto"/>
        <w:right w:val="none" w:sz="0" w:space="0" w:color="auto"/>
      </w:divBdr>
      <w:divsChild>
        <w:div w:id="698899336">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2052724400">
                  <w:marLeft w:val="0"/>
                  <w:marRight w:val="0"/>
                  <w:marTop w:val="0"/>
                  <w:marBottom w:val="0"/>
                  <w:divBdr>
                    <w:top w:val="none" w:sz="0" w:space="0" w:color="auto"/>
                    <w:left w:val="none" w:sz="0" w:space="0" w:color="auto"/>
                    <w:bottom w:val="none" w:sz="0" w:space="0" w:color="auto"/>
                    <w:right w:val="none" w:sz="0" w:space="0" w:color="auto"/>
                  </w:divBdr>
                  <w:divsChild>
                    <w:div w:id="1001201636">
                      <w:marLeft w:val="0"/>
                      <w:marRight w:val="0"/>
                      <w:marTop w:val="0"/>
                      <w:marBottom w:val="0"/>
                      <w:divBdr>
                        <w:top w:val="none" w:sz="0" w:space="0" w:color="auto"/>
                        <w:left w:val="none" w:sz="0" w:space="0" w:color="auto"/>
                        <w:bottom w:val="none" w:sz="0" w:space="0" w:color="auto"/>
                        <w:right w:val="none" w:sz="0" w:space="0" w:color="auto"/>
                      </w:divBdr>
                      <w:divsChild>
                        <w:div w:id="262232397">
                          <w:marLeft w:val="0"/>
                          <w:marRight w:val="0"/>
                          <w:marTop w:val="0"/>
                          <w:marBottom w:val="0"/>
                          <w:divBdr>
                            <w:top w:val="none" w:sz="0" w:space="0" w:color="auto"/>
                            <w:left w:val="none" w:sz="0" w:space="0" w:color="auto"/>
                            <w:bottom w:val="none" w:sz="0" w:space="0" w:color="auto"/>
                            <w:right w:val="none" w:sz="0" w:space="0" w:color="auto"/>
                          </w:divBdr>
                        </w:div>
                        <w:div w:id="1899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23355">
      <w:bodyDiv w:val="1"/>
      <w:marLeft w:val="0"/>
      <w:marRight w:val="0"/>
      <w:marTop w:val="0"/>
      <w:marBottom w:val="0"/>
      <w:divBdr>
        <w:top w:val="none" w:sz="0" w:space="0" w:color="auto"/>
        <w:left w:val="none" w:sz="0" w:space="0" w:color="auto"/>
        <w:bottom w:val="none" w:sz="0" w:space="0" w:color="auto"/>
        <w:right w:val="none" w:sz="0" w:space="0" w:color="auto"/>
      </w:divBdr>
      <w:divsChild>
        <w:div w:id="1368599706">
          <w:marLeft w:val="0"/>
          <w:marRight w:val="0"/>
          <w:marTop w:val="0"/>
          <w:marBottom w:val="0"/>
          <w:divBdr>
            <w:top w:val="none" w:sz="0" w:space="0" w:color="auto"/>
            <w:left w:val="none" w:sz="0" w:space="0" w:color="auto"/>
            <w:bottom w:val="none" w:sz="0" w:space="0" w:color="auto"/>
            <w:right w:val="none" w:sz="0" w:space="0" w:color="auto"/>
          </w:divBdr>
        </w:div>
        <w:div w:id="2075466960">
          <w:marLeft w:val="0"/>
          <w:marRight w:val="0"/>
          <w:marTop w:val="30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2703885">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75299">
      <w:bodyDiv w:val="1"/>
      <w:marLeft w:val="0"/>
      <w:marRight w:val="0"/>
      <w:marTop w:val="0"/>
      <w:marBottom w:val="0"/>
      <w:divBdr>
        <w:top w:val="none" w:sz="0" w:space="0" w:color="auto"/>
        <w:left w:val="none" w:sz="0" w:space="0" w:color="auto"/>
        <w:bottom w:val="none" w:sz="0" w:space="0" w:color="auto"/>
        <w:right w:val="none" w:sz="0" w:space="0" w:color="auto"/>
      </w:divBdr>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174606">
      <w:bodyDiv w:val="1"/>
      <w:marLeft w:val="0"/>
      <w:marRight w:val="0"/>
      <w:marTop w:val="0"/>
      <w:marBottom w:val="0"/>
      <w:divBdr>
        <w:top w:val="none" w:sz="0" w:space="0" w:color="auto"/>
        <w:left w:val="none" w:sz="0" w:space="0" w:color="auto"/>
        <w:bottom w:val="none" w:sz="0" w:space="0" w:color="auto"/>
        <w:right w:val="none" w:sz="0" w:space="0" w:color="auto"/>
      </w:divBdr>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142962">
      <w:bodyDiv w:val="1"/>
      <w:marLeft w:val="0"/>
      <w:marRight w:val="0"/>
      <w:marTop w:val="0"/>
      <w:marBottom w:val="0"/>
      <w:divBdr>
        <w:top w:val="none" w:sz="0" w:space="0" w:color="auto"/>
        <w:left w:val="none" w:sz="0" w:space="0" w:color="auto"/>
        <w:bottom w:val="none" w:sz="0" w:space="0" w:color="auto"/>
        <w:right w:val="none" w:sz="0" w:space="0" w:color="auto"/>
      </w:divBdr>
      <w:divsChild>
        <w:div w:id="995769562">
          <w:marLeft w:val="0"/>
          <w:marRight w:val="0"/>
          <w:marTop w:val="0"/>
          <w:marBottom w:val="0"/>
          <w:divBdr>
            <w:top w:val="none" w:sz="0" w:space="0" w:color="auto"/>
            <w:left w:val="none" w:sz="0" w:space="0" w:color="auto"/>
            <w:bottom w:val="none" w:sz="0" w:space="0" w:color="auto"/>
            <w:right w:val="none" w:sz="0" w:space="0" w:color="auto"/>
          </w:divBdr>
        </w:div>
        <w:div w:id="1522357334">
          <w:marLeft w:val="0"/>
          <w:marRight w:val="0"/>
          <w:marTop w:val="30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89456">
      <w:bodyDiv w:val="1"/>
      <w:marLeft w:val="0"/>
      <w:marRight w:val="0"/>
      <w:marTop w:val="0"/>
      <w:marBottom w:val="0"/>
      <w:divBdr>
        <w:top w:val="none" w:sz="0" w:space="0" w:color="auto"/>
        <w:left w:val="none" w:sz="0" w:space="0" w:color="auto"/>
        <w:bottom w:val="none" w:sz="0" w:space="0" w:color="auto"/>
        <w:right w:val="none" w:sz="0" w:space="0" w:color="auto"/>
      </w:divBdr>
      <w:divsChild>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sChild>
                <w:div w:id="2145542033">
                  <w:marLeft w:val="0"/>
                  <w:marRight w:val="0"/>
                  <w:marTop w:val="0"/>
                  <w:marBottom w:val="0"/>
                  <w:divBdr>
                    <w:top w:val="none" w:sz="0" w:space="0" w:color="auto"/>
                    <w:left w:val="none" w:sz="0" w:space="0" w:color="auto"/>
                    <w:bottom w:val="none" w:sz="0" w:space="0" w:color="auto"/>
                    <w:right w:val="none" w:sz="0" w:space="0" w:color="auto"/>
                  </w:divBdr>
                  <w:divsChild>
                    <w:div w:id="2066686051">
                      <w:marLeft w:val="0"/>
                      <w:marRight w:val="0"/>
                      <w:marTop w:val="0"/>
                      <w:marBottom w:val="0"/>
                      <w:divBdr>
                        <w:top w:val="none" w:sz="0" w:space="0" w:color="auto"/>
                        <w:left w:val="none" w:sz="0" w:space="0" w:color="auto"/>
                        <w:bottom w:val="none" w:sz="0" w:space="0" w:color="auto"/>
                        <w:right w:val="none" w:sz="0" w:space="0" w:color="auto"/>
                      </w:divBdr>
                      <w:divsChild>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6621">
      <w:bodyDiv w:val="1"/>
      <w:marLeft w:val="0"/>
      <w:marRight w:val="0"/>
      <w:marTop w:val="0"/>
      <w:marBottom w:val="0"/>
      <w:divBdr>
        <w:top w:val="none" w:sz="0" w:space="0" w:color="auto"/>
        <w:left w:val="none" w:sz="0" w:space="0" w:color="auto"/>
        <w:bottom w:val="none" w:sz="0" w:space="0" w:color="auto"/>
        <w:right w:val="none" w:sz="0" w:space="0" w:color="auto"/>
      </w:divBdr>
      <w:divsChild>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8156">
      <w:bodyDiv w:val="1"/>
      <w:marLeft w:val="0"/>
      <w:marRight w:val="0"/>
      <w:marTop w:val="0"/>
      <w:marBottom w:val="0"/>
      <w:divBdr>
        <w:top w:val="none" w:sz="0" w:space="0" w:color="auto"/>
        <w:left w:val="none" w:sz="0" w:space="0" w:color="auto"/>
        <w:bottom w:val="none" w:sz="0" w:space="0" w:color="auto"/>
        <w:right w:val="none" w:sz="0" w:space="0" w:color="auto"/>
      </w:divBdr>
    </w:div>
    <w:div w:id="2069765024">
      <w:bodyDiv w:val="1"/>
      <w:marLeft w:val="0"/>
      <w:marRight w:val="0"/>
      <w:marTop w:val="0"/>
      <w:marBottom w:val="0"/>
      <w:divBdr>
        <w:top w:val="none" w:sz="0" w:space="0" w:color="auto"/>
        <w:left w:val="none" w:sz="0" w:space="0" w:color="auto"/>
        <w:bottom w:val="none" w:sz="0" w:space="0" w:color="auto"/>
        <w:right w:val="none" w:sz="0" w:space="0" w:color="auto"/>
      </w:divBdr>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813084">
      <w:bodyDiv w:val="1"/>
      <w:marLeft w:val="0"/>
      <w:marRight w:val="0"/>
      <w:marTop w:val="0"/>
      <w:marBottom w:val="0"/>
      <w:divBdr>
        <w:top w:val="none" w:sz="0" w:space="0" w:color="auto"/>
        <w:left w:val="none" w:sz="0" w:space="0" w:color="auto"/>
        <w:bottom w:val="none" w:sz="0" w:space="0" w:color="auto"/>
        <w:right w:val="none" w:sz="0" w:space="0" w:color="auto"/>
      </w:divBdr>
      <w:divsChild>
        <w:div w:id="1426268092">
          <w:marLeft w:val="0"/>
          <w:marRight w:val="0"/>
          <w:marTop w:val="0"/>
          <w:marBottom w:val="0"/>
          <w:divBdr>
            <w:top w:val="none" w:sz="0" w:space="0" w:color="auto"/>
            <w:left w:val="none" w:sz="0" w:space="0" w:color="auto"/>
            <w:bottom w:val="none" w:sz="0" w:space="0" w:color="auto"/>
            <w:right w:val="none" w:sz="0" w:space="0" w:color="auto"/>
          </w:divBdr>
          <w:divsChild>
            <w:div w:id="2139490547">
              <w:marLeft w:val="0"/>
              <w:marRight w:val="0"/>
              <w:marTop w:val="0"/>
              <w:marBottom w:val="0"/>
              <w:divBdr>
                <w:top w:val="none" w:sz="0" w:space="0" w:color="auto"/>
                <w:left w:val="none" w:sz="0" w:space="0" w:color="auto"/>
                <w:bottom w:val="none" w:sz="0" w:space="0" w:color="auto"/>
                <w:right w:val="none" w:sz="0" w:space="0" w:color="auto"/>
              </w:divBdr>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7010">
      <w:bodyDiv w:val="1"/>
      <w:marLeft w:val="0"/>
      <w:marRight w:val="0"/>
      <w:marTop w:val="0"/>
      <w:marBottom w:val="0"/>
      <w:divBdr>
        <w:top w:val="none" w:sz="0" w:space="0" w:color="auto"/>
        <w:left w:val="none" w:sz="0" w:space="0" w:color="auto"/>
        <w:bottom w:val="none" w:sz="0" w:space="0" w:color="auto"/>
        <w:right w:val="none" w:sz="0" w:space="0" w:color="auto"/>
      </w:divBdr>
      <w:divsChild>
        <w:div w:id="1812094444">
          <w:marLeft w:val="0"/>
          <w:marRight w:val="0"/>
          <w:marTop w:val="0"/>
          <w:marBottom w:val="0"/>
          <w:divBdr>
            <w:top w:val="none" w:sz="0" w:space="0" w:color="auto"/>
            <w:left w:val="none" w:sz="0" w:space="0" w:color="auto"/>
            <w:bottom w:val="none" w:sz="0" w:space="0" w:color="auto"/>
            <w:right w:val="none" w:sz="0" w:space="0" w:color="auto"/>
          </w:divBdr>
          <w:divsChild>
            <w:div w:id="1986616329">
              <w:marLeft w:val="0"/>
              <w:marRight w:val="0"/>
              <w:marTop w:val="0"/>
              <w:marBottom w:val="0"/>
              <w:divBdr>
                <w:top w:val="none" w:sz="0" w:space="0" w:color="auto"/>
                <w:left w:val="none" w:sz="0" w:space="0" w:color="auto"/>
                <w:bottom w:val="none" w:sz="0" w:space="0" w:color="auto"/>
                <w:right w:val="none" w:sz="0" w:space="0" w:color="auto"/>
              </w:divBdr>
              <w:divsChild>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sChild>
                    <w:div w:id="2128312364">
                      <w:marLeft w:val="0"/>
                      <w:marRight w:val="0"/>
                      <w:marTop w:val="0"/>
                      <w:marBottom w:val="0"/>
                      <w:divBdr>
                        <w:top w:val="none" w:sz="0" w:space="0" w:color="auto"/>
                        <w:left w:val="none" w:sz="0" w:space="0" w:color="auto"/>
                        <w:bottom w:val="none" w:sz="0" w:space="0" w:color="auto"/>
                        <w:right w:val="none" w:sz="0" w:space="0" w:color="auto"/>
                      </w:divBdr>
                      <w:divsChild>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2114">
      <w:bodyDiv w:val="1"/>
      <w:marLeft w:val="0"/>
      <w:marRight w:val="0"/>
      <w:marTop w:val="0"/>
      <w:marBottom w:val="0"/>
      <w:divBdr>
        <w:top w:val="none" w:sz="0" w:space="0" w:color="auto"/>
        <w:left w:val="none" w:sz="0" w:space="0" w:color="auto"/>
        <w:bottom w:val="none" w:sz="0" w:space="0" w:color="auto"/>
        <w:right w:val="none" w:sz="0" w:space="0" w:color="auto"/>
      </w:divBdr>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3595896">
      <w:bodyDiv w:val="1"/>
      <w:marLeft w:val="0"/>
      <w:marRight w:val="0"/>
      <w:marTop w:val="0"/>
      <w:marBottom w:val="0"/>
      <w:divBdr>
        <w:top w:val="none" w:sz="0" w:space="0" w:color="auto"/>
        <w:left w:val="none" w:sz="0" w:space="0" w:color="auto"/>
        <w:bottom w:val="none" w:sz="0" w:space="0" w:color="auto"/>
        <w:right w:val="none" w:sz="0" w:space="0" w:color="auto"/>
      </w:divBdr>
      <w:divsChild>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531310448">
          <w:marLeft w:val="0"/>
          <w:marRight w:val="0"/>
          <w:marTop w:val="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149692">
      <w:bodyDiv w:val="1"/>
      <w:marLeft w:val="0"/>
      <w:marRight w:val="0"/>
      <w:marTop w:val="0"/>
      <w:marBottom w:val="0"/>
      <w:divBdr>
        <w:top w:val="none" w:sz="0" w:space="0" w:color="auto"/>
        <w:left w:val="none" w:sz="0" w:space="0" w:color="auto"/>
        <w:bottom w:val="none" w:sz="0" w:space="0" w:color="auto"/>
        <w:right w:val="none" w:sz="0" w:space="0" w:color="auto"/>
      </w:divBdr>
      <w:divsChild>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414749">
      <w:bodyDiv w:val="1"/>
      <w:marLeft w:val="0"/>
      <w:marRight w:val="0"/>
      <w:marTop w:val="0"/>
      <w:marBottom w:val="0"/>
      <w:divBdr>
        <w:top w:val="none" w:sz="0" w:space="0" w:color="auto"/>
        <w:left w:val="none" w:sz="0" w:space="0" w:color="auto"/>
        <w:bottom w:val="none" w:sz="0" w:space="0" w:color="auto"/>
        <w:right w:val="none" w:sz="0" w:space="0" w:color="auto"/>
      </w:divBdr>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7358">
      <w:bodyDiv w:val="1"/>
      <w:marLeft w:val="0"/>
      <w:marRight w:val="0"/>
      <w:marTop w:val="0"/>
      <w:marBottom w:val="0"/>
      <w:divBdr>
        <w:top w:val="none" w:sz="0" w:space="0" w:color="auto"/>
        <w:left w:val="none" w:sz="0" w:space="0" w:color="auto"/>
        <w:bottom w:val="none" w:sz="0" w:space="0" w:color="auto"/>
        <w:right w:val="none" w:sz="0" w:space="0" w:color="auto"/>
      </w:divBdr>
      <w:divsChild>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sChild>
            <w:div w:id="2014530283">
              <w:marLeft w:val="0"/>
              <w:marRight w:val="0"/>
              <w:marTop w:val="0"/>
              <w:marBottom w:val="0"/>
              <w:divBdr>
                <w:top w:val="none" w:sz="0" w:space="0" w:color="auto"/>
                <w:left w:val="none" w:sz="0" w:space="0" w:color="auto"/>
                <w:bottom w:val="none" w:sz="0" w:space="0" w:color="auto"/>
                <w:right w:val="none" w:sz="0" w:space="0" w:color="auto"/>
              </w:divBdr>
              <w:divsChild>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983458506">
                              <w:marLeft w:val="0"/>
                              <w:marRight w:val="0"/>
                              <w:marTop w:val="0"/>
                              <w:marBottom w:val="0"/>
                              <w:divBdr>
                                <w:top w:val="none" w:sz="0" w:space="0" w:color="auto"/>
                                <w:left w:val="none" w:sz="0" w:space="0" w:color="auto"/>
                                <w:bottom w:val="none" w:sz="0" w:space="0" w:color="auto"/>
                                <w:right w:val="none" w:sz="0" w:space="0" w:color="auto"/>
                              </w:divBdr>
                            </w:div>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3814770">
      <w:bodyDiv w:val="1"/>
      <w:marLeft w:val="0"/>
      <w:marRight w:val="0"/>
      <w:marTop w:val="0"/>
      <w:marBottom w:val="0"/>
      <w:divBdr>
        <w:top w:val="none" w:sz="0" w:space="0" w:color="auto"/>
        <w:left w:val="none" w:sz="0" w:space="0" w:color="auto"/>
        <w:bottom w:val="none" w:sz="0" w:space="0" w:color="auto"/>
        <w:right w:val="none" w:sz="0" w:space="0" w:color="auto"/>
      </w:divBdr>
    </w:div>
    <w:div w:id="2094154962">
      <w:bodyDiv w:val="1"/>
      <w:marLeft w:val="0"/>
      <w:marRight w:val="0"/>
      <w:marTop w:val="0"/>
      <w:marBottom w:val="0"/>
      <w:divBdr>
        <w:top w:val="none" w:sz="0" w:space="0" w:color="auto"/>
        <w:left w:val="none" w:sz="0" w:space="0" w:color="auto"/>
        <w:bottom w:val="none" w:sz="0" w:space="0" w:color="auto"/>
        <w:right w:val="none" w:sz="0" w:space="0" w:color="auto"/>
      </w:divBdr>
      <w:divsChild>
        <w:div w:id="541282339">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739288">
      <w:bodyDiv w:val="1"/>
      <w:marLeft w:val="0"/>
      <w:marRight w:val="0"/>
      <w:marTop w:val="0"/>
      <w:marBottom w:val="0"/>
      <w:divBdr>
        <w:top w:val="none" w:sz="0" w:space="0" w:color="auto"/>
        <w:left w:val="none" w:sz="0" w:space="0" w:color="auto"/>
        <w:bottom w:val="none" w:sz="0" w:space="0" w:color="auto"/>
        <w:right w:val="none" w:sz="0" w:space="0" w:color="auto"/>
      </w:divBdr>
      <w:divsChild>
        <w:div w:id="77411656">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2077315528">
          <w:marLeft w:val="0"/>
          <w:marRight w:val="0"/>
          <w:marTop w:val="0"/>
          <w:marBottom w:val="0"/>
          <w:divBdr>
            <w:top w:val="none" w:sz="0" w:space="0" w:color="auto"/>
            <w:left w:val="none" w:sz="0" w:space="0" w:color="auto"/>
            <w:bottom w:val="none" w:sz="0" w:space="0" w:color="auto"/>
            <w:right w:val="none" w:sz="0" w:space="0" w:color="auto"/>
          </w:divBdr>
        </w:div>
      </w:divsChild>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2677132">
      <w:bodyDiv w:val="1"/>
      <w:marLeft w:val="0"/>
      <w:marRight w:val="0"/>
      <w:marTop w:val="0"/>
      <w:marBottom w:val="0"/>
      <w:divBdr>
        <w:top w:val="none" w:sz="0" w:space="0" w:color="auto"/>
        <w:left w:val="none" w:sz="0" w:space="0" w:color="auto"/>
        <w:bottom w:val="none" w:sz="0" w:space="0" w:color="auto"/>
        <w:right w:val="none" w:sz="0" w:space="0" w:color="auto"/>
      </w:divBdr>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526078">
      <w:bodyDiv w:val="1"/>
      <w:marLeft w:val="0"/>
      <w:marRight w:val="0"/>
      <w:marTop w:val="0"/>
      <w:marBottom w:val="0"/>
      <w:divBdr>
        <w:top w:val="none" w:sz="0" w:space="0" w:color="auto"/>
        <w:left w:val="none" w:sz="0" w:space="0" w:color="auto"/>
        <w:bottom w:val="none" w:sz="0" w:space="0" w:color="auto"/>
        <w:right w:val="none" w:sz="0" w:space="0" w:color="auto"/>
      </w:divBdr>
      <w:divsChild>
        <w:div w:id="944270901">
          <w:marLeft w:val="0"/>
          <w:marRight w:val="0"/>
          <w:marTop w:val="0"/>
          <w:marBottom w:val="0"/>
          <w:divBdr>
            <w:top w:val="none" w:sz="0" w:space="0" w:color="auto"/>
            <w:left w:val="none" w:sz="0" w:space="0" w:color="auto"/>
            <w:bottom w:val="none" w:sz="0" w:space="0" w:color="auto"/>
            <w:right w:val="none" w:sz="0" w:space="0" w:color="auto"/>
          </w:divBdr>
        </w:div>
        <w:div w:id="2140608577">
          <w:marLeft w:val="0"/>
          <w:marRight w:val="0"/>
          <w:marTop w:val="300"/>
          <w:marBottom w:val="0"/>
          <w:divBdr>
            <w:top w:val="none" w:sz="0" w:space="0" w:color="auto"/>
            <w:left w:val="none" w:sz="0" w:space="0" w:color="auto"/>
            <w:bottom w:val="none" w:sz="0" w:space="0" w:color="auto"/>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4766928">
      <w:bodyDiv w:val="1"/>
      <w:marLeft w:val="0"/>
      <w:marRight w:val="0"/>
      <w:marTop w:val="0"/>
      <w:marBottom w:val="0"/>
      <w:divBdr>
        <w:top w:val="none" w:sz="0" w:space="0" w:color="auto"/>
        <w:left w:val="none" w:sz="0" w:space="0" w:color="auto"/>
        <w:bottom w:val="none" w:sz="0" w:space="0" w:color="auto"/>
        <w:right w:val="none" w:sz="0" w:space="0" w:color="auto"/>
      </w:divBdr>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109255">
      <w:bodyDiv w:val="1"/>
      <w:marLeft w:val="0"/>
      <w:marRight w:val="0"/>
      <w:marTop w:val="0"/>
      <w:marBottom w:val="0"/>
      <w:divBdr>
        <w:top w:val="none" w:sz="0" w:space="0" w:color="auto"/>
        <w:left w:val="none" w:sz="0" w:space="0" w:color="auto"/>
        <w:bottom w:val="none" w:sz="0" w:space="0" w:color="auto"/>
        <w:right w:val="none" w:sz="0" w:space="0" w:color="auto"/>
      </w:divBdr>
      <w:divsChild>
        <w:div w:id="158822990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3356">
      <w:bodyDiv w:val="1"/>
      <w:marLeft w:val="0"/>
      <w:marRight w:val="0"/>
      <w:marTop w:val="0"/>
      <w:marBottom w:val="0"/>
      <w:divBdr>
        <w:top w:val="none" w:sz="0" w:space="0" w:color="auto"/>
        <w:left w:val="none" w:sz="0" w:space="0" w:color="auto"/>
        <w:bottom w:val="none" w:sz="0" w:space="0" w:color="auto"/>
        <w:right w:val="none" w:sz="0" w:space="0" w:color="auto"/>
      </w:divBdr>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114683">
      <w:bodyDiv w:val="1"/>
      <w:marLeft w:val="0"/>
      <w:marRight w:val="0"/>
      <w:marTop w:val="0"/>
      <w:marBottom w:val="0"/>
      <w:divBdr>
        <w:top w:val="none" w:sz="0" w:space="0" w:color="auto"/>
        <w:left w:val="none" w:sz="0" w:space="0" w:color="auto"/>
        <w:bottom w:val="none" w:sz="0" w:space="0" w:color="auto"/>
        <w:right w:val="none" w:sz="0" w:space="0" w:color="auto"/>
      </w:divBdr>
      <w:divsChild>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6640">
      <w:bodyDiv w:val="1"/>
      <w:marLeft w:val="0"/>
      <w:marRight w:val="0"/>
      <w:marTop w:val="0"/>
      <w:marBottom w:val="0"/>
      <w:divBdr>
        <w:top w:val="none" w:sz="0" w:space="0" w:color="auto"/>
        <w:left w:val="none" w:sz="0" w:space="0" w:color="auto"/>
        <w:bottom w:val="none" w:sz="0" w:space="0" w:color="auto"/>
        <w:right w:val="none" w:sz="0" w:space="0" w:color="auto"/>
      </w:divBdr>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697242">
      <w:bodyDiv w:val="1"/>
      <w:marLeft w:val="0"/>
      <w:marRight w:val="0"/>
      <w:marTop w:val="0"/>
      <w:marBottom w:val="0"/>
      <w:divBdr>
        <w:top w:val="none" w:sz="0" w:space="0" w:color="auto"/>
        <w:left w:val="none" w:sz="0" w:space="0" w:color="auto"/>
        <w:bottom w:val="none" w:sz="0" w:space="0" w:color="auto"/>
        <w:right w:val="none" w:sz="0" w:space="0" w:color="auto"/>
      </w:divBdr>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3632">
      <w:bodyDiv w:val="1"/>
      <w:marLeft w:val="0"/>
      <w:marRight w:val="0"/>
      <w:marTop w:val="0"/>
      <w:marBottom w:val="0"/>
      <w:divBdr>
        <w:top w:val="none" w:sz="0" w:space="0" w:color="auto"/>
        <w:left w:val="none" w:sz="0" w:space="0" w:color="auto"/>
        <w:bottom w:val="none" w:sz="0" w:space="0" w:color="auto"/>
        <w:right w:val="none" w:sz="0" w:space="0" w:color="auto"/>
      </w:divBdr>
      <w:divsChild>
        <w:div w:id="1854569664">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90651">
      <w:bodyDiv w:val="1"/>
      <w:marLeft w:val="0"/>
      <w:marRight w:val="0"/>
      <w:marTop w:val="0"/>
      <w:marBottom w:val="0"/>
      <w:divBdr>
        <w:top w:val="none" w:sz="0" w:space="0" w:color="auto"/>
        <w:left w:val="none" w:sz="0" w:space="0" w:color="auto"/>
        <w:bottom w:val="none" w:sz="0" w:space="0" w:color="auto"/>
        <w:right w:val="none" w:sz="0" w:space="0" w:color="auto"/>
      </w:divBdr>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017758">
      <w:bodyDiv w:val="1"/>
      <w:marLeft w:val="0"/>
      <w:marRight w:val="0"/>
      <w:marTop w:val="0"/>
      <w:marBottom w:val="0"/>
      <w:divBdr>
        <w:top w:val="none" w:sz="0" w:space="0" w:color="auto"/>
        <w:left w:val="none" w:sz="0" w:space="0" w:color="auto"/>
        <w:bottom w:val="none" w:sz="0" w:space="0" w:color="auto"/>
        <w:right w:val="none" w:sz="0" w:space="0" w:color="auto"/>
      </w:divBdr>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8868776">
      <w:bodyDiv w:val="1"/>
      <w:marLeft w:val="0"/>
      <w:marRight w:val="0"/>
      <w:marTop w:val="0"/>
      <w:marBottom w:val="0"/>
      <w:divBdr>
        <w:top w:val="none" w:sz="0" w:space="0" w:color="auto"/>
        <w:left w:val="none" w:sz="0" w:space="0" w:color="auto"/>
        <w:bottom w:val="none" w:sz="0" w:space="0" w:color="auto"/>
        <w:right w:val="none" w:sz="0" w:space="0" w:color="auto"/>
      </w:divBdr>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6923690">
      <w:bodyDiv w:val="1"/>
      <w:marLeft w:val="0"/>
      <w:marRight w:val="0"/>
      <w:marTop w:val="0"/>
      <w:marBottom w:val="0"/>
      <w:divBdr>
        <w:top w:val="none" w:sz="0" w:space="0" w:color="auto"/>
        <w:left w:val="none" w:sz="0" w:space="0" w:color="auto"/>
        <w:bottom w:val="none" w:sz="0" w:space="0" w:color="auto"/>
        <w:right w:val="none" w:sz="0" w:space="0" w:color="auto"/>
      </w:divBdr>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48836">
      <w:bodyDiv w:val="1"/>
      <w:marLeft w:val="0"/>
      <w:marRight w:val="0"/>
      <w:marTop w:val="0"/>
      <w:marBottom w:val="0"/>
      <w:divBdr>
        <w:top w:val="none" w:sz="0" w:space="0" w:color="auto"/>
        <w:left w:val="none" w:sz="0" w:space="0" w:color="auto"/>
        <w:bottom w:val="none" w:sz="0" w:space="0" w:color="auto"/>
        <w:right w:val="none" w:sz="0" w:space="0" w:color="auto"/>
      </w:divBdr>
      <w:divsChild>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sChild>
                    <w:div w:id="21319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963799">
      <w:bodyDiv w:val="1"/>
      <w:marLeft w:val="0"/>
      <w:marRight w:val="0"/>
      <w:marTop w:val="0"/>
      <w:marBottom w:val="0"/>
      <w:divBdr>
        <w:top w:val="none" w:sz="0" w:space="0" w:color="auto"/>
        <w:left w:val="none" w:sz="0" w:space="0" w:color="auto"/>
        <w:bottom w:val="none" w:sz="0" w:space="0" w:color="auto"/>
        <w:right w:val="none" w:sz="0" w:space="0" w:color="auto"/>
      </w:divBdr>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47750">
      <w:bodyDiv w:val="1"/>
      <w:marLeft w:val="0"/>
      <w:marRight w:val="0"/>
      <w:marTop w:val="0"/>
      <w:marBottom w:val="0"/>
      <w:divBdr>
        <w:top w:val="none" w:sz="0" w:space="0" w:color="auto"/>
        <w:left w:val="none" w:sz="0" w:space="0" w:color="auto"/>
        <w:bottom w:val="none" w:sz="0" w:space="0" w:color="auto"/>
        <w:right w:val="none" w:sz="0" w:space="0" w:color="auto"/>
      </w:divBdr>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7984658">
      <w:bodyDiv w:val="1"/>
      <w:marLeft w:val="0"/>
      <w:marRight w:val="0"/>
      <w:marTop w:val="0"/>
      <w:marBottom w:val="0"/>
      <w:divBdr>
        <w:top w:val="none" w:sz="0" w:space="0" w:color="auto"/>
        <w:left w:val="none" w:sz="0" w:space="0" w:color="auto"/>
        <w:bottom w:val="none" w:sz="0" w:space="0" w:color="auto"/>
        <w:right w:val="none" w:sz="0" w:space="0" w:color="auto"/>
      </w:divBdr>
      <w:divsChild>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376597">
      <w:bodyDiv w:val="1"/>
      <w:marLeft w:val="0"/>
      <w:marRight w:val="0"/>
      <w:marTop w:val="0"/>
      <w:marBottom w:val="0"/>
      <w:divBdr>
        <w:top w:val="none" w:sz="0" w:space="0" w:color="auto"/>
        <w:left w:val="none" w:sz="0" w:space="0" w:color="auto"/>
        <w:bottom w:val="none" w:sz="0" w:space="0" w:color="auto"/>
        <w:right w:val="none" w:sz="0" w:space="0" w:color="auto"/>
      </w:divBdr>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7420">
      <w:bodyDiv w:val="1"/>
      <w:marLeft w:val="0"/>
      <w:marRight w:val="0"/>
      <w:marTop w:val="0"/>
      <w:marBottom w:val="0"/>
      <w:divBdr>
        <w:top w:val="none" w:sz="0" w:space="0" w:color="auto"/>
        <w:left w:val="none" w:sz="0" w:space="0" w:color="auto"/>
        <w:bottom w:val="none" w:sz="0" w:space="0" w:color="auto"/>
        <w:right w:val="none" w:sz="0" w:space="0" w:color="auto"/>
      </w:divBdr>
      <w:divsChild>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ergy.ec.europa.eu/communication-repowereu-plan-com2022230_ro" TargetMode="External"/><Relationship Id="rId299" Type="http://schemas.openxmlformats.org/officeDocument/2006/relationships/hyperlink" Target="javascript:void(0)" TargetMode="External"/><Relationship Id="rId303" Type="http://schemas.openxmlformats.org/officeDocument/2006/relationships/header" Target="header1.xml"/><Relationship Id="rId21" Type="http://schemas.openxmlformats.org/officeDocument/2006/relationships/hyperlink" Target="https://gov.ro/ro/media/comunicate" TargetMode="External"/><Relationship Id="rId42" Type="http://schemas.openxmlformats.org/officeDocument/2006/relationships/hyperlink" Target="https://www.fonduri-structurale.ro/alte-finantari/596/apelul-2-in-stare-de-bine-2022" TargetMode="External"/><Relationship Id="rId63" Type="http://schemas.openxmlformats.org/officeDocument/2006/relationships/hyperlink" Target="https://circabc.europa.eu/ui/group/09242a36-a438-40fd-a7af-fe32e36cbd0e/library/7d058afe-ec83-4b8c-ac36-873c7d9c615a/details" TargetMode="External"/><Relationship Id="rId84" Type="http://schemas.openxmlformats.org/officeDocument/2006/relationships/hyperlink" Target="https://ec.europa.eu/programmes/erasmus-plus/node_en" TargetMode="External"/><Relationship Id="rId138" Type="http://schemas.openxmlformats.org/officeDocument/2006/relationships/hyperlink" Target="javascript:void(0)" TargetMode="External"/><Relationship Id="rId159" Type="http://schemas.openxmlformats.org/officeDocument/2006/relationships/hyperlink" Target="https://energy.ec.europa.eu/implementing-repowereu-plan-swd_en" TargetMode="External"/><Relationship Id="rId170" Type="http://schemas.openxmlformats.org/officeDocument/2006/relationships/hyperlink" Target="javascript:void(0)" TargetMode="External"/><Relationship Id="rId191" Type="http://schemas.openxmlformats.org/officeDocument/2006/relationships/hyperlink" Target="https://audiovisual.ec.europa.eu/en/video/I-225403" TargetMode="External"/><Relationship Id="rId205" Type="http://schemas.openxmlformats.org/officeDocument/2006/relationships/hyperlink" Target="https://ec.europa.eu/atwork/applying-eu-law/infringements-proceedings/infringement_decisions/?typeOfSearch=false&amp;active_only=0&amp;noncom=0&amp;r_dossier=INFR%282020%290563&amp;decision_date_from=&amp;decision_date_to=&amp;title=&amp;submit=Search&amp;lang_code=ro" TargetMode="External"/><Relationship Id="rId226" Type="http://schemas.openxmlformats.org/officeDocument/2006/relationships/hyperlink" Target="javascript:void(0)" TargetMode="External"/><Relationship Id="rId247" Type="http://schemas.openxmlformats.org/officeDocument/2006/relationships/hyperlink" Target="https://ec.europa.eu/atwork/applying-eu-law/infringements-proceedings/infringement_decisions/?typeOfSearch=false&amp;active_only=0&amp;noncom=0&amp;r_dossier=INFR%282021%290333&amp;decision_date_from=&amp;decision_date_to=&amp;title=&amp;submit=Search&amp;lang_code=ro" TargetMode="External"/><Relationship Id="rId107" Type="http://schemas.openxmlformats.org/officeDocument/2006/relationships/image" Target="media/image10.png"/><Relationship Id="rId268" Type="http://schemas.openxmlformats.org/officeDocument/2006/relationships/hyperlink" Target="https://ec.europa.eu/info/files/2022-eu-justice-scoreboard-factsheet_en" TargetMode="External"/><Relationship Id="rId289" Type="http://schemas.openxmlformats.org/officeDocument/2006/relationships/hyperlink" Target="https://ec.europa.eu/info/sites/default/files/01_-_migrant_integration.pdf" TargetMode="External"/><Relationship Id="rId11" Type="http://schemas.openxmlformats.org/officeDocument/2006/relationships/image" Target="media/image4.png"/><Relationship Id="rId32" Type="http://schemas.openxmlformats.org/officeDocument/2006/relationships/hyperlink" Target="https://granturi.imm.gov.ro/" TargetMode="External"/><Relationship Id="rId53" Type="http://schemas.openxmlformats.org/officeDocument/2006/relationships/hyperlink" Target="https://ec.europa.eu/commission/presscorner/detail/ro/IP_22_2695" TargetMode="External"/><Relationship Id="rId74" Type="http://schemas.openxmlformats.org/officeDocument/2006/relationships/image" Target="media/image9.png"/><Relationship Id="rId128" Type="http://schemas.openxmlformats.org/officeDocument/2006/relationships/hyperlink" Target="javascript:void(0)" TargetMode="External"/><Relationship Id="rId149" Type="http://schemas.openxmlformats.org/officeDocument/2006/relationships/hyperlink" Target="https://ec.europa.eu/clima/eu-action/european-green-deal/european-climate-law_ro" TargetMode="External"/><Relationship Id="rId5" Type="http://schemas.openxmlformats.org/officeDocument/2006/relationships/webSettings" Target="webSettings.xml"/><Relationship Id="rId95" Type="http://schemas.openxmlformats.org/officeDocument/2006/relationships/hyperlink" Target="https://s3platform.jrc.ec.europa.eu/pri-playbook" TargetMode="External"/><Relationship Id="rId160" Type="http://schemas.openxmlformats.org/officeDocument/2006/relationships/hyperlink" Target="javascript:void(0)" TargetMode="External"/><Relationship Id="rId181" Type="http://schemas.openxmlformats.org/officeDocument/2006/relationships/hyperlink" Target="https://ec.europa.eu/commission/presscorner/detail/ro/FS_22_3135" TargetMode="External"/><Relationship Id="rId216" Type="http://schemas.openxmlformats.org/officeDocument/2006/relationships/hyperlink" Target="javascript:void(0)" TargetMode="External"/><Relationship Id="rId237" Type="http://schemas.openxmlformats.org/officeDocument/2006/relationships/hyperlink" Target="https://ec.europa.eu/atwork/applying-eu-law/infringements-proceedings/infringement_decisions/?lang_code=ro" TargetMode="External"/><Relationship Id="rId258" Type="http://schemas.openxmlformats.org/officeDocument/2006/relationships/hyperlink" Target="javascript:void(0)" TargetMode="External"/><Relationship Id="rId279" Type="http://schemas.openxmlformats.org/officeDocument/2006/relationships/hyperlink" Target="javascript:void(0)" TargetMode="External"/><Relationship Id="rId22" Type="http://schemas.openxmlformats.org/officeDocument/2006/relationships/image" Target="media/image6.png"/><Relationship Id="rId43" Type="http://schemas.openxmlformats.org/officeDocument/2006/relationships/hyperlink" Target="https://www.fonduri-structurale.ro/alte-finantari/585/noul-bauhaus-european-sprijin-pentru-initiative-locale" TargetMode="External"/><Relationship Id="rId64" Type="http://schemas.openxmlformats.org/officeDocument/2006/relationships/hyperlink" Target="https://circabc.europa.eu/ui/group/09242a36-a438-40fd-a7af-fe32e36cbd0e/library/e7337222-a970-4355-b4cd-0c89f4f1f148/details" TargetMode="External"/><Relationship Id="rId118" Type="http://schemas.openxmlformats.org/officeDocument/2006/relationships/image" Target="media/image11.png"/><Relationship Id="rId139" Type="http://schemas.openxmlformats.org/officeDocument/2006/relationships/hyperlink" Target="https://energy.ec.europa.eu/implementing-repowereu-plan-swd_en" TargetMode="External"/><Relationship Id="rId290" Type="http://schemas.openxmlformats.org/officeDocument/2006/relationships/image" Target="media/image18.png"/><Relationship Id="rId304" Type="http://schemas.openxmlformats.org/officeDocument/2006/relationships/header" Target="header2.xml"/><Relationship Id="rId85" Type="http://schemas.openxmlformats.org/officeDocument/2006/relationships/hyperlink" Target="javascript:void(0)" TargetMode="External"/><Relationship Id="rId150" Type="http://schemas.openxmlformats.org/officeDocument/2006/relationships/hyperlink" Target="javascript:void(0)" TargetMode="External"/><Relationship Id="rId171" Type="http://schemas.openxmlformats.org/officeDocument/2006/relationships/hyperlink" Target="https://eur-lex.europa.eu/legal-content/RO/TXT/?uri=CELEX%3A32021R0241" TargetMode="External"/><Relationship Id="rId192" Type="http://schemas.openxmlformats.org/officeDocument/2006/relationships/hyperlink" Target="javascript:void(0)" TargetMode="External"/><Relationship Id="rId206" Type="http://schemas.openxmlformats.org/officeDocument/2006/relationships/hyperlink" Target="https://ec.europa.eu/atwork/applying-eu-law/infringements-proceedings/infringement_decisions/?typeOfSearch=false&amp;active_only=0&amp;noncom=0&amp;r_dossier=INFR%282020%290521&amp;decision_date_from=&amp;decision_date_to=&amp;title=&amp;submit=Search&amp;lang_code=ro" TargetMode="External"/><Relationship Id="rId227" Type="http://schemas.openxmlformats.org/officeDocument/2006/relationships/hyperlink" Target="https://ec.europa.eu/info/law/law-making-process/applying-eu-law/infringement-procedure_ro" TargetMode="External"/><Relationship Id="rId248" Type="http://schemas.openxmlformats.org/officeDocument/2006/relationships/hyperlink" Target="https://eur-lex.europa.eu/legal-content/RO/TXT/?uri=CELEX%3A32018L2001" TargetMode="External"/><Relationship Id="rId269" Type="http://schemas.openxmlformats.org/officeDocument/2006/relationships/hyperlink" Target="javascript:void(0)" TargetMode="External"/><Relationship Id="rId12" Type="http://schemas.openxmlformats.org/officeDocument/2006/relationships/hyperlink" Target="http://get.adobe.com/reader/" TargetMode="External"/><Relationship Id="rId33" Type="http://schemas.openxmlformats.org/officeDocument/2006/relationships/hyperlink" Target="https://www.fonduri-structurale.ro/descarca-document/39477" TargetMode="External"/><Relationship Id="rId108" Type="http://schemas.openxmlformats.org/officeDocument/2006/relationships/hyperlink" Target="https://europa.eu/youth/discovereu_ro" TargetMode="External"/><Relationship Id="rId129" Type="http://schemas.openxmlformats.org/officeDocument/2006/relationships/hyperlink" Target="https://energy.ec.europa.eu/joint-communication-eu-external-energy-engagement-join202223_ro" TargetMode="External"/><Relationship Id="rId280" Type="http://schemas.openxmlformats.org/officeDocument/2006/relationships/hyperlink" Target="https://ec.europa.eu/info/policies/justice-and-fundamental-rights/upholding-rule-law/eu-justice-scoreboard_en" TargetMode="External"/><Relationship Id="rId54" Type="http://schemas.openxmlformats.org/officeDocument/2006/relationships/hyperlink" Target="javascript:void(0)" TargetMode="External"/><Relationship Id="rId75" Type="http://schemas.openxmlformats.org/officeDocument/2006/relationships/hyperlink" Target="https://ec.europa.eu/commission/presscorner/detail/ro/SPEECH_21_4701" TargetMode="External"/><Relationship Id="rId96" Type="http://schemas.openxmlformats.org/officeDocument/2006/relationships/hyperlink" Target="https://ec.europa.eu/info/news/have-your-say-development-new-european-innovation-agenda-2022-apr-22_en" TargetMode="External"/><Relationship Id="rId140" Type="http://schemas.openxmlformats.org/officeDocument/2006/relationships/hyperlink" Target="javascript:void(0)" TargetMode="External"/><Relationship Id="rId161" Type="http://schemas.openxmlformats.org/officeDocument/2006/relationships/hyperlink" Target="https://energy.ec.europa.eu/communication-eu-save-energy-com2022240_ro" TargetMode="External"/><Relationship Id="rId182" Type="http://schemas.openxmlformats.org/officeDocument/2006/relationships/hyperlink" Target="javascript:void(0)" TargetMode="External"/><Relationship Id="rId217" Type="http://schemas.openxmlformats.org/officeDocument/2006/relationships/hyperlink" Target="https://digital-strategy.ec.europa.eu/en/policies/revision-avmsd" TargetMode="External"/><Relationship Id="rId6" Type="http://schemas.openxmlformats.org/officeDocument/2006/relationships/footnotes" Target="footnotes.xml"/><Relationship Id="rId238" Type="http://schemas.openxmlformats.org/officeDocument/2006/relationships/hyperlink" Target="https://ec.europa.eu/atwork/applying-eu-law/infringements-proceedings/infringement_decisions/?typeOfSearch=false&amp;active_only=0&amp;noncom=0&amp;r_dossier=INFR%282021%290248&amp;decision_date_from=&amp;decision_date_to=&amp;title=&amp;submit=Search&amp;lang_code=ro" TargetMode="External"/><Relationship Id="rId259" Type="http://schemas.openxmlformats.org/officeDocument/2006/relationships/hyperlink" Target="https://ec.europa.eu/info/law/law-making-process/applying-eu-law/infringement-procedure_ro" TargetMode="External"/><Relationship Id="rId23" Type="http://schemas.openxmlformats.org/officeDocument/2006/relationships/hyperlink" Target="https://www.fonduri-structurale.ro/descarca-document/39483" TargetMode="External"/><Relationship Id="rId119" Type="http://schemas.openxmlformats.org/officeDocument/2006/relationships/hyperlink" Target="https://ec.europa.eu/commission/presscorner/detail/ro/ip_22_2784" TargetMode="External"/><Relationship Id="rId270" Type="http://schemas.openxmlformats.org/officeDocument/2006/relationships/hyperlink" Target="https://ec.europa.eu/commission/presscorner/detail/en/qanda_22_3147" TargetMode="External"/><Relationship Id="rId291" Type="http://schemas.openxmlformats.org/officeDocument/2006/relationships/hyperlink" Target="https://ec.europa.eu/info/files/ukraine-relief-and-reconstruction_en" TargetMode="External"/><Relationship Id="rId305" Type="http://schemas.openxmlformats.org/officeDocument/2006/relationships/footer" Target="footer1.xml"/><Relationship Id="rId44" Type="http://schemas.openxmlformats.org/officeDocument/2006/relationships/image" Target="media/image7.jpeg"/><Relationship Id="rId65" Type="http://schemas.openxmlformats.org/officeDocument/2006/relationships/hyperlink" Target="https://ec.europa.eu/commission/presscorner/detail/ro/IP_21_2990" TargetMode="External"/><Relationship Id="rId86" Type="http://schemas.openxmlformats.org/officeDocument/2006/relationships/hyperlink" Target="https://europa.eu/youth/solidarity_ro" TargetMode="External"/><Relationship Id="rId130" Type="http://schemas.openxmlformats.org/officeDocument/2006/relationships/hyperlink" Target="javascript:void(0)" TargetMode="External"/><Relationship Id="rId151" Type="http://schemas.openxmlformats.org/officeDocument/2006/relationships/hyperlink" Target="https://ec.europa.eu/info/strategy/priorities-2019-2024/european-green-deal/delivering-european-green-deal_ro" TargetMode="External"/><Relationship Id="rId172" Type="http://schemas.openxmlformats.org/officeDocument/2006/relationships/hyperlink" Target="javascript:void(0)" TargetMode="External"/><Relationship Id="rId193" Type="http://schemas.openxmlformats.org/officeDocument/2006/relationships/hyperlink" Target="https://energy.ec.europa.eu/communication-electricity-market-design-com2022236_en" TargetMode="External"/><Relationship Id="rId207" Type="http://schemas.openxmlformats.org/officeDocument/2006/relationships/hyperlink" Target="https://digital-strategy.ec.europa.eu/en/policies/audiovisual-and-media-services" TargetMode="External"/><Relationship Id="rId228" Type="http://schemas.openxmlformats.org/officeDocument/2006/relationships/hyperlink" Target="javascript:void(0)" TargetMode="External"/><Relationship Id="rId249" Type="http://schemas.openxmlformats.org/officeDocument/2006/relationships/hyperlink" Target="javascript:void(0)" TargetMode="External"/><Relationship Id="rId13" Type="http://schemas.openxmlformats.org/officeDocument/2006/relationships/hyperlink" Target="http://www.monitoruloficial.ro/RO/article--e-Monitor.html" TargetMode="External"/><Relationship Id="rId109" Type="http://schemas.openxmlformats.org/officeDocument/2006/relationships/hyperlink" Target="https://erasmus-plus.ec.europa.eu/" TargetMode="External"/><Relationship Id="rId260" Type="http://schemas.openxmlformats.org/officeDocument/2006/relationships/hyperlink" Target="javascript:void(0)" TargetMode="External"/><Relationship Id="rId281" Type="http://schemas.openxmlformats.org/officeDocument/2006/relationships/hyperlink" Target="javascript:void(0)" TargetMode="External"/><Relationship Id="rId34" Type="http://schemas.openxmlformats.org/officeDocument/2006/relationships/hyperlink" Target="mailto:cabinet.moise@madr.ro" TargetMode="External"/><Relationship Id="rId55" Type="http://schemas.openxmlformats.org/officeDocument/2006/relationships/hyperlink" Target="https://ec.europa.eu/commission/presscorner/detail/ro/IP_22_452"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20" Type="http://schemas.openxmlformats.org/officeDocument/2006/relationships/hyperlink" Target="javascript:void(0)" TargetMode="External"/><Relationship Id="rId141" Type="http://schemas.openxmlformats.org/officeDocument/2006/relationships/hyperlink" Target="https://ec.europa.eu/commission/presscorner/detail/ro/ip_22_1511" TargetMode="External"/><Relationship Id="rId7" Type="http://schemas.openxmlformats.org/officeDocument/2006/relationships/endnotes" Target="endnotes.xml"/><Relationship Id="rId162" Type="http://schemas.openxmlformats.org/officeDocument/2006/relationships/hyperlink" Target="javascript:void(0)" TargetMode="External"/><Relationship Id="rId183" Type="http://schemas.openxmlformats.org/officeDocument/2006/relationships/hyperlink" Target="https://ec.europa.eu/commission/presscorner/detail/en/FS_22_3136" TargetMode="External"/><Relationship Id="rId218" Type="http://schemas.openxmlformats.org/officeDocument/2006/relationships/hyperlink" Target="javascript:void(0)" TargetMode="External"/><Relationship Id="rId239" Type="http://schemas.openxmlformats.org/officeDocument/2006/relationships/hyperlink" Target="https://ec.europa.eu/atwork/applying-eu-law/infringements-proceedings/infringement_decisions/?typeOfSearch=false&amp;active_only=0&amp;noncom=0&amp;r_dossier=INFR%282021%290169&amp;decision_date_from=&amp;decision_date_to=&amp;title=&amp;submit=Search&amp;lang_code=ro" TargetMode="External"/><Relationship Id="rId250" Type="http://schemas.openxmlformats.org/officeDocument/2006/relationships/image" Target="media/image14.png"/><Relationship Id="rId271" Type="http://schemas.openxmlformats.org/officeDocument/2006/relationships/hyperlink" Target="javascript:void(0)" TargetMode="External"/><Relationship Id="rId292" Type="http://schemas.openxmlformats.org/officeDocument/2006/relationships/hyperlink" Target="https://ec.europa.eu/commission/presscorner/detail/en/fs_22_3169" TargetMode="External"/><Relationship Id="rId306" Type="http://schemas.openxmlformats.org/officeDocument/2006/relationships/fontTable" Target="fontTable.xml"/><Relationship Id="rId24" Type="http://schemas.openxmlformats.org/officeDocument/2006/relationships/hyperlink" Target="https://www.fonduri-structurale.ro/stiri/28836/comisia-europeana-va-permite-modificarea-pnrr-decizia-priveste-strict-impactul-crizei-energetice" TargetMode="External"/><Relationship Id="rId40" Type="http://schemas.openxmlformats.org/officeDocument/2006/relationships/hyperlink" Target="https://www.fonduri-structurale.ro/stiri/28782/pe-26-si-27-mai-ar-urma-sa-se-lanseze-microgranturile-si-granturile-pentru-capital-de-lucru-destinate-immurilor-din-agricultura-si-procesare" TargetMode="External"/><Relationship Id="rId45" Type="http://schemas.openxmlformats.org/officeDocument/2006/relationships/hyperlink" Target="https://ec.europa.eu/info/business-economy-euro/recovery-coronavirus/recovery-and-resilience-facility_ro"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s://europa.eu/youth/sites/default/files/0319_youth_2022-05_discovereu_factsheet.pdf" TargetMode="External"/><Relationship Id="rId115" Type="http://schemas.openxmlformats.org/officeDocument/2006/relationships/hyperlink" Target="https://europa.eu/youth/discovereu_en" TargetMode="External"/><Relationship Id="rId131" Type="http://schemas.openxmlformats.org/officeDocument/2006/relationships/hyperlink" Target="https://energy.ec.europa.eu/communication-eu-solar-strategy-com2022149_ro" TargetMode="External"/><Relationship Id="rId136" Type="http://schemas.openxmlformats.org/officeDocument/2006/relationships/hyperlink" Target="javascript:void(0)" TargetMode="External"/><Relationship Id="rId157" Type="http://schemas.openxmlformats.org/officeDocument/2006/relationships/hyperlink" Target="https://energy.ec.europa.eu/annexes-repowereu-plan_ro" TargetMode="External"/><Relationship Id="rId178" Type="http://schemas.openxmlformats.org/officeDocument/2006/relationships/hyperlink" Target="javascript:void(0)" TargetMode="External"/><Relationship Id="rId301" Type="http://schemas.openxmlformats.org/officeDocument/2006/relationships/hyperlink" Target="mailto:prefhd@comser.ro" TargetMode="External"/><Relationship Id="rId61" Type="http://schemas.openxmlformats.org/officeDocument/2006/relationships/hyperlink" Target="https://ec.europa.eu/info/strategy/priorities-2019-2024/stronger-europe-world/eu-us-trade-and-technology-council_en" TargetMode="External"/><Relationship Id="rId82" Type="http://schemas.openxmlformats.org/officeDocument/2006/relationships/hyperlink" Target="javascript:void(0)" TargetMode="External"/><Relationship Id="rId152" Type="http://schemas.openxmlformats.org/officeDocument/2006/relationships/hyperlink" Target="javascript:void(0)" TargetMode="External"/><Relationship Id="rId173" Type="http://schemas.openxmlformats.org/officeDocument/2006/relationships/hyperlink" Target="https://ec.europa.eu/info/files/proposal-regulation-european-parliament-and-council-amending-regulation-eu-2021-241-regards-repowereu-chapters-recovery-and-resilience-plans-and-amending-regulation-2021-1060-2021-2115-2003-87-ec-2015-1814_en" TargetMode="External"/><Relationship Id="rId194" Type="http://schemas.openxmlformats.org/officeDocument/2006/relationships/hyperlink" Target="javascript:void(0)" TargetMode="External"/><Relationship Id="rId199" Type="http://schemas.openxmlformats.org/officeDocument/2006/relationships/hyperlink" Target="https://eur-lex.europa.eu/legal-content/RO/TXT/?uri=CELEX%3A52022DC0138&amp;qid=1649253932345" TargetMode="External"/><Relationship Id="rId203" Type="http://schemas.openxmlformats.org/officeDocument/2006/relationships/hyperlink" Target="https://ec.europa.eu/atwork/applying-eu-law/infringements-proceedings/infringement_decisions/?typeOfSearch=false&amp;active_only=0&amp;noncom=0&amp;r_dossier=INFR%282020%290531&amp;decision_date_from=&amp;decision_date_to=&amp;title=&amp;submit=Search&amp;lang_code=ro" TargetMode="External"/><Relationship Id="rId208" Type="http://schemas.openxmlformats.org/officeDocument/2006/relationships/hyperlink" Target="javascript:void(0)" TargetMode="External"/><Relationship Id="rId229" Type="http://schemas.openxmlformats.org/officeDocument/2006/relationships/hyperlink" Target="https://ec.europa.eu/atwork/applying-eu-law/infringements-proceedings/infringement_decisions/?lang_code=ro" TargetMode="External"/><Relationship Id="rId19" Type="http://schemas.openxmlformats.org/officeDocument/2006/relationships/hyperlink" Target="https://gov.ro/fisiere/stiri_fisiere/Hotarare_CSNU_nr._25_din_21.05.2022.pdf" TargetMode="External"/><Relationship Id="rId224" Type="http://schemas.openxmlformats.org/officeDocument/2006/relationships/hyperlink" Target="javascript:void(0)" TargetMode="External"/><Relationship Id="rId240" Type="http://schemas.openxmlformats.org/officeDocument/2006/relationships/hyperlink" Target="https://ec.europa.eu/atwork/applying-eu-law/infringements-proceedings/infringement_decisions/?typeOfSearch=false&amp;active_only=0&amp;noncom=0&amp;r_dossier=INFR%282021%290192&amp;decision_date_from=&amp;decision_date_to=&amp;title=&amp;submit=Search&amp;lang_code=ro" TargetMode="External"/><Relationship Id="rId245" Type="http://schemas.openxmlformats.org/officeDocument/2006/relationships/hyperlink" Target="https://ec.europa.eu/atwork/applying-eu-law/infringements-proceedings/infringement_decisions/?typeOfSearch=false&amp;active_only=0&amp;noncom=0&amp;r_dossier=INFR%282021%290317&amp;decision_date_from=&amp;decision_date_to=&amp;title=&amp;submit=Search&amp;lang_code=ro" TargetMode="External"/><Relationship Id="rId261" Type="http://schemas.openxmlformats.org/officeDocument/2006/relationships/hyperlink" Target="https://ec.europa.eu/atwork/applying-eu-law/infringements-proceedings/infringement_decisions/?lang_code=ro" TargetMode="External"/><Relationship Id="rId266" Type="http://schemas.openxmlformats.org/officeDocument/2006/relationships/hyperlink" Target="https://ec.europa.eu/info/files/eu-justice-scoreboard-2022_en" TargetMode="External"/><Relationship Id="rId287" Type="http://schemas.openxmlformats.org/officeDocument/2006/relationships/hyperlink" Target="https://ec.europa.eu/commission/presscorner/detail/en/ip_22_1867" TargetMode="External"/><Relationship Id="rId14" Type="http://schemas.openxmlformats.org/officeDocument/2006/relationships/image" Target="media/image5.jpeg"/><Relationship Id="rId30" Type="http://schemas.openxmlformats.org/officeDocument/2006/relationships/hyperlink" Target="https://mfe.gov.ro/proiect-hg-privind-instrumentele-financiare-bei-2/" TargetMode="External"/><Relationship Id="rId35" Type="http://schemas.openxmlformats.org/officeDocument/2006/relationships/hyperlink" Target="https://www.fonduri-structurale.ro/stiri/28765/schema-de-ajutor-de-stat-pentru-compensarea-cresterii-pretului-la-combustibil-pentru-transportatori-si-distribuitori-in-consultare-publica" TargetMode="External"/><Relationship Id="rId56" Type="http://schemas.openxmlformats.org/officeDocument/2006/relationships/hyperlink" Target="javascript:void(0)" TargetMode="External"/><Relationship Id="rId77" Type="http://schemas.openxmlformats.org/officeDocument/2006/relationships/hyperlink" Target="https://europa.eu/youth/year-of-youth_ro" TargetMode="External"/><Relationship Id="rId100" Type="http://schemas.openxmlformats.org/officeDocument/2006/relationships/hyperlink" Target="javascript:void(0)" TargetMode="External"/><Relationship Id="rId105" Type="http://schemas.openxmlformats.org/officeDocument/2006/relationships/hyperlink" Target="https://s3platform.jrc.ec.europa.eu/pri-playbook" TargetMode="External"/><Relationship Id="rId126" Type="http://schemas.openxmlformats.org/officeDocument/2006/relationships/hyperlink" Target="javascript:void(0)" TargetMode="External"/><Relationship Id="rId147" Type="http://schemas.openxmlformats.org/officeDocument/2006/relationships/hyperlink" Target="https://ec.europa.eu/info/strategy/priorities-2019-2024/european-green-deal_ro" TargetMode="External"/><Relationship Id="rId168" Type="http://schemas.openxmlformats.org/officeDocument/2006/relationships/hyperlink" Target="javascript:void(0)" TargetMode="External"/><Relationship Id="rId282"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hyperlink" Target="https://twitter.com/ecfin" TargetMode="External"/><Relationship Id="rId72" Type="http://schemas.openxmlformats.org/officeDocument/2006/relationships/hyperlink" Target="https://ec.europa.eu/trade/policy/countries-and-regions/countries/united-states/" TargetMode="External"/><Relationship Id="rId93" Type="http://schemas.openxmlformats.org/officeDocument/2006/relationships/hyperlink" Target="javascript:void(0)" TargetMode="External"/><Relationship Id="rId98" Type="http://schemas.openxmlformats.org/officeDocument/2006/relationships/hyperlink" Target="https://s3platform.jrc.ec.europa.eu/what-we-do" TargetMode="External"/><Relationship Id="rId121" Type="http://schemas.openxmlformats.org/officeDocument/2006/relationships/hyperlink" Target="https://ec.europa.eu/info/files/proposal-regulation-european-parliament-and-council-amending-regulation-eu-2021-241-regards-repowereu-chapters-recovery-and-resilience-plans-and-amending-regulation-2021-1060-2021-2115-2003-87-ec-2015-1814_en" TargetMode="External"/><Relationship Id="rId142" Type="http://schemas.openxmlformats.org/officeDocument/2006/relationships/hyperlink" Target="javascript:void(0)" TargetMode="External"/><Relationship Id="rId163" Type="http://schemas.openxmlformats.org/officeDocument/2006/relationships/hyperlink" Target="https://energy.ec.europa.eu/joint-communication-eu-external-energy-engagement-join202223_ro" TargetMode="External"/><Relationship Id="rId184" Type="http://schemas.openxmlformats.org/officeDocument/2006/relationships/hyperlink" Target="javascript:void(0)" TargetMode="External"/><Relationship Id="rId189" Type="http://schemas.openxmlformats.org/officeDocument/2006/relationships/hyperlink" Target="https://ec.europa.eu/commission/presscorner/detail/en/FS_22_3119" TargetMode="External"/><Relationship Id="rId219" Type="http://schemas.openxmlformats.org/officeDocument/2006/relationships/hyperlink" Target="https://eur-lex.europa.eu/eli/treaty/tfeu_2012/oj?locale=ro" TargetMode="External"/><Relationship Id="rId3" Type="http://schemas.openxmlformats.org/officeDocument/2006/relationships/styles" Target="styles.xml"/><Relationship Id="rId214" Type="http://schemas.openxmlformats.org/officeDocument/2006/relationships/hyperlink" Target="javascript:void(0)" TargetMode="External"/><Relationship Id="rId230" Type="http://schemas.openxmlformats.org/officeDocument/2006/relationships/image" Target="media/image13.png"/><Relationship Id="rId235" Type="http://schemas.openxmlformats.org/officeDocument/2006/relationships/hyperlink" Target="https://ec.europa.eu/info/law/law-making-process/applying-eu-law/infringement-procedure_ro" TargetMode="External"/><Relationship Id="rId251" Type="http://schemas.openxmlformats.org/officeDocument/2006/relationships/hyperlink" Target="https://ec.europa.eu/info/law/law-making-process/applying-eu-law/infringement-procedure_ro" TargetMode="External"/><Relationship Id="rId256" Type="http://schemas.openxmlformats.org/officeDocument/2006/relationships/hyperlink" Target="https://ec.europa.eu/atwork/applying-eu-law/infringements-proceedings/infringement_decisions/?typeOfSearch=false&amp;active_only=0&amp;noncom=0&amp;r_dossier=INFR%282021%290505&amp;decision_date_from=&amp;decision_date_to=&amp;title=&amp;submit=Search&amp;lang_code=ro" TargetMode="External"/><Relationship Id="rId277" Type="http://schemas.openxmlformats.org/officeDocument/2006/relationships/hyperlink" Target="javascript:void(0)" TargetMode="External"/><Relationship Id="rId298" Type="http://schemas.openxmlformats.org/officeDocument/2006/relationships/hyperlink" Target="https://ec.europa.eu/commission/presscorner/detail/en/ip_22_3183" TargetMode="External"/><Relationship Id="rId25" Type="http://schemas.openxmlformats.org/officeDocument/2006/relationships/hyperlink" Target="https://www.fonduri-structurale.ro/descarca-document/39482" TargetMode="External"/><Relationship Id="rId46" Type="http://schemas.openxmlformats.org/officeDocument/2006/relationships/hyperlink" Target="javascript:void(0)" TargetMode="External"/><Relationship Id="rId67" Type="http://schemas.openxmlformats.org/officeDocument/2006/relationships/hyperlink" Target="https://trade.ec.europa.eu/doclib/docs/2021/september/tradoc_159846.pdf" TargetMode="External"/><Relationship Id="rId116" Type="http://schemas.openxmlformats.org/officeDocument/2006/relationships/hyperlink" Target="javascript:void(0)" TargetMode="External"/><Relationship Id="rId137" Type="http://schemas.openxmlformats.org/officeDocument/2006/relationships/hyperlink" Target="https://joint-research-centre.ec.europa.eu/energy-and-industry-geography-lab_en" TargetMode="External"/><Relationship Id="rId158" Type="http://schemas.openxmlformats.org/officeDocument/2006/relationships/hyperlink" Target="javascript:void(0)" TargetMode="External"/><Relationship Id="rId272" Type="http://schemas.openxmlformats.org/officeDocument/2006/relationships/hyperlink" Target="https://ec.europa.eu/info/flash-eurobarometer-503-perceived-independence-national-justice-systems-eu-among-general-public_en" TargetMode="External"/><Relationship Id="rId293" Type="http://schemas.openxmlformats.org/officeDocument/2006/relationships/hyperlink" Target="javascript:void(0)" TargetMode="External"/><Relationship Id="rId302" Type="http://schemas.openxmlformats.org/officeDocument/2006/relationships/hyperlink" Target="mailto:prefhd@comser.ro" TargetMode="External"/><Relationship Id="rId307" Type="http://schemas.openxmlformats.org/officeDocument/2006/relationships/theme" Target="theme/theme1.xml"/><Relationship Id="rId20" Type="http://schemas.openxmlformats.org/officeDocument/2006/relationships/hyperlink" Target="https://gov.ro/fisiere/stiri_fisiere/Anexa_la_HCNSU_nr._25_din_21.05.2022.pdf" TargetMode="External"/><Relationship Id="rId41" Type="http://schemas.openxmlformats.org/officeDocument/2006/relationships/hyperlink" Target="https://www.fonduri-structurale.ro/alte-finantari/594/fundatia-pentru-dezvoltarea-societatii-civile-enel-romania-apelul-de-proiecte-conectare-dezvoltare-acces" TargetMode="External"/><Relationship Id="rId62" Type="http://schemas.openxmlformats.org/officeDocument/2006/relationships/hyperlink" Target="javascript:void(0)" TargetMode="External"/><Relationship Id="rId83" Type="http://schemas.openxmlformats.org/officeDocument/2006/relationships/hyperlink" Target="https://ec.europa.eu/social/main.jsp?catId=1079&amp;langId=ro" TargetMode="External"/><Relationship Id="rId88" Type="http://schemas.openxmlformats.org/officeDocument/2006/relationships/hyperlink" Target="https://ec.europa.eu/social/main.jsp?catId=1549&amp;langId=ro" TargetMode="External"/><Relationship Id="rId111" Type="http://schemas.openxmlformats.org/officeDocument/2006/relationships/hyperlink" Target="https://europa.eu/youth/sites/default/files/0319_youth_2022-05_discovereu_factsheet.pdf" TargetMode="External"/><Relationship Id="rId132" Type="http://schemas.openxmlformats.org/officeDocument/2006/relationships/hyperlink" Target="javascript:void(0)" TargetMode="External"/><Relationship Id="rId153" Type="http://schemas.openxmlformats.org/officeDocument/2006/relationships/hyperlink" Target="https://energy.ec.europa.eu/joint-communication-eu-external-energy-engagement-join202223_ro" TargetMode="External"/><Relationship Id="rId174" Type="http://schemas.openxmlformats.org/officeDocument/2006/relationships/hyperlink" Target="javascript:void(0)" TargetMode="External"/><Relationship Id="rId179" Type="http://schemas.openxmlformats.org/officeDocument/2006/relationships/hyperlink" Target="https://ec.europa.eu/commission/presscorner/detail/ro/FS_22_3133" TargetMode="External"/><Relationship Id="rId195" Type="http://schemas.openxmlformats.org/officeDocument/2006/relationships/hyperlink" Target="https://ec.europa.eu/commission/presscorner/detail/ro/qanda_22_3141" TargetMode="External"/><Relationship Id="rId209" Type="http://schemas.openxmlformats.org/officeDocument/2006/relationships/hyperlink" Target="https://ec.europa.eu/commission/presscorner/detail/ro/IP_20_2165" TargetMode="External"/><Relationship Id="rId190" Type="http://schemas.openxmlformats.org/officeDocument/2006/relationships/hyperlink" Target="javascript:void(0)" TargetMode="External"/><Relationship Id="rId204" Type="http://schemas.openxmlformats.org/officeDocument/2006/relationships/hyperlink" Target="https://ec.europa.eu/atwork/applying-eu-law/infringements-proceedings/infringement_decisions/?typeOfSearch=false&amp;active_only=0&amp;noncom=0&amp;r_dossier=INFR%282020%290555&amp;decision_date_from=&amp;decision_date_to=&amp;title=&amp;submit=Search&amp;lang_code=ro" TargetMode="External"/><Relationship Id="rId220" Type="http://schemas.openxmlformats.org/officeDocument/2006/relationships/hyperlink" Target="https://eur-lex.europa.eu/eli/treaty/tfeu_2012/oj?locale=ro" TargetMode="External"/><Relationship Id="rId225" Type="http://schemas.openxmlformats.org/officeDocument/2006/relationships/hyperlink" Target="https://ec.europa.eu/commission/presscorner/detail/en/MEMO_18_4093" TargetMode="External"/><Relationship Id="rId241" Type="http://schemas.openxmlformats.org/officeDocument/2006/relationships/hyperlink" Target="https://ec.europa.eu/atwork/applying-eu-law/infringements-proceedings/infringement_decisions/?typeOfSearch=false&amp;active_only=0&amp;noncom=0&amp;r_dossier=INFR%282021%290209&amp;decision_date_from=&amp;decision_date_to=&amp;title=&amp;submit=Search&amp;lang_code=ro" TargetMode="External"/><Relationship Id="rId246" Type="http://schemas.openxmlformats.org/officeDocument/2006/relationships/hyperlink" Target="https://ec.europa.eu/atwork/applying-eu-law/infringements-proceedings/infringement_decisions/?typeOfSearch=false&amp;active_only=0&amp;noncom=0&amp;r_dossier=INFR%282021%290326&amp;decision_date_from=&amp;decision_date_to=&amp;title=&amp;submit=Search&amp;lang_code=ro" TargetMode="External"/><Relationship Id="rId267" Type="http://schemas.openxmlformats.org/officeDocument/2006/relationships/hyperlink" Target="javascript:void(0)" TargetMode="External"/><Relationship Id="rId288" Type="http://schemas.openxmlformats.org/officeDocument/2006/relationships/hyperlink" Target="javascript:void(0)" TargetMode="External"/><Relationship Id="rId15" Type="http://schemas.openxmlformats.org/officeDocument/2006/relationships/hyperlink" Target="https://www.youtube.com/watch?v=36yJVhV0a9U" TargetMode="External"/><Relationship Id="rId36" Type="http://schemas.openxmlformats.org/officeDocument/2006/relationships/hyperlink" Target="https://www.fonduri-structurale.ro/stiri/28511/ghidul-pentru-investitiile-companiilor-afectate-de-covid-19-masura-4-1-1-din-nou-in-consultare-publica" TargetMode="External"/><Relationship Id="rId57" Type="http://schemas.openxmlformats.org/officeDocument/2006/relationships/hyperlink" Target="https://digital-strategy.ec.europa.eu/en/library/high-level-guidelines-cybersecurity-smes" TargetMode="External"/><Relationship Id="rId106" Type="http://schemas.openxmlformats.org/officeDocument/2006/relationships/hyperlink" Target="https://s3platform.jrc.ec.europa.eu/pri-map" TargetMode="External"/><Relationship Id="rId127" Type="http://schemas.openxmlformats.org/officeDocument/2006/relationships/hyperlink" Target="https://ec.europa.eu/commission/presscorner/detail/en/IP_22_2387" TargetMode="External"/><Relationship Id="rId262" Type="http://schemas.openxmlformats.org/officeDocument/2006/relationships/hyperlink" Target="https://ec.europa.eu/info/files/eu-justice-scoreboard-2022_en" TargetMode="External"/><Relationship Id="rId283" Type="http://schemas.openxmlformats.org/officeDocument/2006/relationships/hyperlink" Target="https://ec.europa.eu/info/funding-tenders/find-funding/eu-funding-programmes/technical-support-instrument/technical-support-instrument-tsi_en" TargetMode="External"/><Relationship Id="rId10" Type="http://schemas.openxmlformats.org/officeDocument/2006/relationships/image" Target="media/image3.jpeg"/><Relationship Id="rId31" Type="http://schemas.openxmlformats.org/officeDocument/2006/relationships/hyperlink" Target="https://www.fonduri-structurale.ro/program-operational/23/planul-national-de-redresare-si-rezilienta" TargetMode="External"/><Relationship Id="rId52" Type="http://schemas.openxmlformats.org/officeDocument/2006/relationships/image" Target="media/image8.jpeg"/><Relationship Id="rId73" Type="http://schemas.openxmlformats.org/officeDocument/2006/relationships/hyperlink" Target="https://ec.europa.eu/social/main.jsp?langId=en&amp;catId=88&amp;eventsId=1986&amp;furtherEvents=yes" TargetMode="External"/><Relationship Id="rId78" Type="http://schemas.openxmlformats.org/officeDocument/2006/relationships/hyperlink" Target="javascript:void(0)" TargetMode="External"/><Relationship Id="rId94" Type="http://schemas.openxmlformats.org/officeDocument/2006/relationships/hyperlink" Target="https://s3platform.jrc.ec.europa.eu/pri" TargetMode="External"/><Relationship Id="rId99" Type="http://schemas.openxmlformats.org/officeDocument/2006/relationships/hyperlink" Target="https://s3platform.jrc.ec.europa.eu/en/pri" TargetMode="External"/><Relationship Id="rId101" Type="http://schemas.openxmlformats.org/officeDocument/2006/relationships/hyperlink" Target="https://s3platform.jrc.ec.europa.eu/call-of-interest-pri" TargetMode="External"/><Relationship Id="rId122" Type="http://schemas.openxmlformats.org/officeDocument/2006/relationships/hyperlink" Target="javascript:void(0)" TargetMode="External"/><Relationship Id="rId143" Type="http://schemas.openxmlformats.org/officeDocument/2006/relationships/hyperlink" Target="https://ec.europa.eu/commission/presscorner/detail/ro/STATEMENT_22_2685"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https://energy.ec.europa.eu/recommendation-speeding-permit-granting-and-ppas-com20223219_en" TargetMode="External"/><Relationship Id="rId185" Type="http://schemas.openxmlformats.org/officeDocument/2006/relationships/hyperlink" Target="https://ec.europa.eu/commission/presscorner/detail/en/FS_22_3137"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javascript:void(0)" TargetMode="External"/><Relationship Id="rId210" Type="http://schemas.openxmlformats.org/officeDocument/2006/relationships/hyperlink" Target="javascript:void(0)" TargetMode="External"/><Relationship Id="rId215" Type="http://schemas.openxmlformats.org/officeDocument/2006/relationships/hyperlink" Target="https://digital-strategy.ec.europa.eu/en/policies/audiovisual-and-media-services" TargetMode="External"/><Relationship Id="rId236" Type="http://schemas.openxmlformats.org/officeDocument/2006/relationships/hyperlink" Target="javascript:void(0)" TargetMode="External"/><Relationship Id="rId257" Type="http://schemas.openxmlformats.org/officeDocument/2006/relationships/hyperlink" Target="https://eur-lex.europa.eu/legal-content/RO/TXT/?uri=celex%3A32019L1024" TargetMode="External"/><Relationship Id="rId278" Type="http://schemas.openxmlformats.org/officeDocument/2006/relationships/hyperlink" Target="https://ec.europa.eu/info/sites/default/files/ruleoflaw2021_toolbox_factsheet_en.pdf" TargetMode="External"/><Relationship Id="rId26" Type="http://schemas.openxmlformats.org/officeDocument/2006/relationships/hyperlink" Target="https://www.fonduri-structurale.ro/descarca-document/39479" TargetMode="External"/><Relationship Id="rId231" Type="http://schemas.openxmlformats.org/officeDocument/2006/relationships/hyperlink" Target="https://ec.europa.eu/atwork/applying-eu-law/infringements-proceedings/infringement_decisions/?typeOfSearch=false&amp;active_only=0&amp;noncom=0&amp;r_dossier=INFR%282022%292018&amp;decision_date_from=&amp;decision_date_to=&amp;title=&amp;submit=Search&amp;lang_code=ro" TargetMode="External"/><Relationship Id="rId252" Type="http://schemas.openxmlformats.org/officeDocument/2006/relationships/hyperlink" Target="javascript:void(0)" TargetMode="External"/><Relationship Id="rId273" Type="http://schemas.openxmlformats.org/officeDocument/2006/relationships/hyperlink" Target="javascript:void(0)" TargetMode="External"/><Relationship Id="rId294" Type="http://schemas.openxmlformats.org/officeDocument/2006/relationships/image" Target="media/image19.png"/><Relationship Id="rId47" Type="http://schemas.openxmlformats.org/officeDocument/2006/relationships/hyperlink" Target="https://ec.europa.eu/info/business-economy-euro/economic-performance-and-forecasts/economic-forecasts/spring-2022-economic-forecast_en" TargetMode="External"/><Relationship Id="rId68" Type="http://schemas.openxmlformats.org/officeDocument/2006/relationships/hyperlink" Target="https://ec.europa.eu/commission/presscorner/detail/ro/statement_21_4951" TargetMode="External"/><Relationship Id="rId89" Type="http://schemas.openxmlformats.org/officeDocument/2006/relationships/hyperlink" Target="https://ec.europa.eu/social/main.jsp?langId=en&amp;catId=89&amp;newsId=10256&amp;furtherNews=yes" TargetMode="External"/><Relationship Id="rId112" Type="http://schemas.openxmlformats.org/officeDocument/2006/relationships/hyperlink" Target="https://erasmus-plus.ec.europa.eu/" TargetMode="External"/><Relationship Id="rId133" Type="http://schemas.openxmlformats.org/officeDocument/2006/relationships/hyperlink" Target="https://energy.ec.europa.eu/recommendation-speeding-permit-granting-and-ppas-com20223219_en" TargetMode="External"/><Relationship Id="rId154" Type="http://schemas.openxmlformats.org/officeDocument/2006/relationships/hyperlink" Target="javascript:void(0)" TargetMode="External"/><Relationship Id="rId175" Type="http://schemas.openxmlformats.org/officeDocument/2006/relationships/hyperlink" Target="https://ec.europa.eu/info/files/commission-notice-guidance-recovery-and-resilience-plans-context-repowereu_en" TargetMode="External"/><Relationship Id="rId196" Type="http://schemas.openxmlformats.org/officeDocument/2006/relationships/hyperlink" Target="javascript:void(0)" TargetMode="External"/><Relationship Id="rId200" Type="http://schemas.openxmlformats.org/officeDocument/2006/relationships/hyperlink" Target="javascript:void(0)" TargetMode="External"/><Relationship Id="rId16" Type="http://schemas.openxmlformats.org/officeDocument/2006/relationships/hyperlink" Target="https://gov.ro/ro/obiective/strategii-politici-programe/raportul-anual-cu-privire-la-progresul-inregistrat-in-implementarea-strategiei-nationale-pentru-prevenirea-i-combaterea-antisemitismului-xenofobiei-radicalizarii-i-discursului-instigator-la-ura-aferenta-perioadei-2021-2023&amp;page=1" TargetMode="External"/><Relationship Id="rId221" Type="http://schemas.openxmlformats.org/officeDocument/2006/relationships/hyperlink" Target="https://digital-strategy.ec.europa.eu/en/policies/audiovisual-and-media-services" TargetMode="External"/><Relationship Id="rId242" Type="http://schemas.openxmlformats.org/officeDocument/2006/relationships/hyperlink" Target="https://ec.europa.eu/atwork/applying-eu-law/infringements-proceedings/infringement_decisions/?typeOfSearch=false&amp;active_only=0&amp;noncom=0&amp;r_dossier=INFR%282021%290256&amp;decision_date_from=&amp;decision_date_to=&amp;title=&amp;submit=Search&amp;lang_code=ro" TargetMode="External"/><Relationship Id="rId263" Type="http://schemas.openxmlformats.org/officeDocument/2006/relationships/image" Target="media/image16.png"/><Relationship Id="rId284" Type="http://schemas.openxmlformats.org/officeDocument/2006/relationships/hyperlink" Target="javascript:void(0)" TargetMode="External"/><Relationship Id="rId37" Type="http://schemas.openxmlformats.org/officeDocument/2006/relationships/hyperlink" Target="https://www.fonduri-structurale.ro/stiri/28827/bolos-masura-4-1-1-va-fi-lansata-la-inceputul-lunii-iulie-in-iunie-va-fi-publicata-in-consultare" TargetMode="External"/><Relationship Id="rId58" Type="http://schemas.openxmlformats.org/officeDocument/2006/relationships/hyperlink" Target="javascript:void(0)" TargetMode="External"/><Relationship Id="rId79" Type="http://schemas.openxmlformats.org/officeDocument/2006/relationships/hyperlink" Target="https://ec.europa.eu/european-social-fund-plus/en" TargetMode="External"/><Relationship Id="rId102" Type="http://schemas.openxmlformats.org/officeDocument/2006/relationships/hyperlink" Target="https://s3platform.jrc.ec.europa.eu/pri" TargetMode="External"/><Relationship Id="rId123" Type="http://schemas.openxmlformats.org/officeDocument/2006/relationships/hyperlink" Target="https://eur-lex.europa.eu/legal-content/RO/TXT/?uri=CELEX%3A32021R0241" TargetMode="External"/><Relationship Id="rId144" Type="http://schemas.openxmlformats.org/officeDocument/2006/relationships/hyperlink" Target="javascript:void(0)" TargetMode="External"/><Relationship Id="rId90" Type="http://schemas.openxmlformats.org/officeDocument/2006/relationships/hyperlink" Target="https://ec.europa.eu/european-social-fund-plus/en" TargetMode="External"/><Relationship Id="rId165" Type="http://schemas.openxmlformats.org/officeDocument/2006/relationships/hyperlink" Target="https://energy.ec.europa.eu/communication-eu-solar-strategy-com2022149_ro" TargetMode="External"/><Relationship Id="rId186" Type="http://schemas.openxmlformats.org/officeDocument/2006/relationships/hyperlink" Target="javascript:void(0)" TargetMode="External"/><Relationship Id="rId211" Type="http://schemas.openxmlformats.org/officeDocument/2006/relationships/hyperlink" Target="https://digital-strategy.ec.europa.eu/en/news/audiovisual-media-commission-calls-member-states-fully-transpose-eu-rules-audiovisual-content" TargetMode="External"/><Relationship Id="rId232" Type="http://schemas.openxmlformats.org/officeDocument/2006/relationships/hyperlink" Target="https://ec.europa.eu/atwork/applying-eu-law/infringements-proceedings/infringement_decisions/?typeOfSearch=false&amp;active_only=0&amp;noncom=0&amp;r_dossier=INFR%282021%292263&amp;decision_date_from=&amp;decision_date_to=&amp;title=&amp;submit=Search&amp;lang_code=ro" TargetMode="External"/><Relationship Id="rId253" Type="http://schemas.openxmlformats.org/officeDocument/2006/relationships/hyperlink" Target="https://ec.europa.eu/atwork/applying-eu-law/infringements-proceedings/infringement_decisions/?lang_code=ro" TargetMode="External"/><Relationship Id="rId274" Type="http://schemas.openxmlformats.org/officeDocument/2006/relationships/hyperlink" Target="https://ec.europa.eu/info/flash-eurobarometer-504-perceived-independence-national-justice-systems-eu-among-companies_en" TargetMode="External"/><Relationship Id="rId295" Type="http://schemas.openxmlformats.org/officeDocument/2006/relationships/image" Target="media/image20.png"/><Relationship Id="rId27" Type="http://schemas.openxmlformats.org/officeDocument/2006/relationships/hyperlink" Target="https://www.fonduri-structurale.ro/descarca-document/39480" TargetMode="External"/><Relationship Id="rId48" Type="http://schemas.openxmlformats.org/officeDocument/2006/relationships/hyperlink" Target="javascript:void(0)" TargetMode="External"/><Relationship Id="rId69" Type="http://schemas.openxmlformats.org/officeDocument/2006/relationships/hyperlink" Target="javascript:void(0)" TargetMode="External"/><Relationship Id="rId113" Type="http://schemas.openxmlformats.org/officeDocument/2006/relationships/hyperlink" Target="https://europa.eu/youth/year-of-youth_en" TargetMode="External"/><Relationship Id="rId134" Type="http://schemas.openxmlformats.org/officeDocument/2006/relationships/hyperlink" Target="javascript:void(0)" TargetMode="External"/><Relationship Id="rId80" Type="http://schemas.openxmlformats.org/officeDocument/2006/relationships/hyperlink" Target="javascript:void(0)" TargetMode="External"/><Relationship Id="rId155" Type="http://schemas.openxmlformats.org/officeDocument/2006/relationships/hyperlink" Target="https://energy.ec.europa.eu/communication-repowereu-plan-com2022230_ro" TargetMode="External"/><Relationship Id="rId176" Type="http://schemas.openxmlformats.org/officeDocument/2006/relationships/hyperlink" Target="javascript:void(0)" TargetMode="External"/><Relationship Id="rId197" Type="http://schemas.openxmlformats.org/officeDocument/2006/relationships/hyperlink" Target="https://ec.europa.eu/commission/presscorner/detail/ro/IP_22_1936" TargetMode="External"/><Relationship Id="rId201" Type="http://schemas.openxmlformats.org/officeDocument/2006/relationships/image" Target="media/image12.png"/><Relationship Id="rId222" Type="http://schemas.openxmlformats.org/officeDocument/2006/relationships/hyperlink" Target="javascript:void(0)" TargetMode="External"/><Relationship Id="rId243" Type="http://schemas.openxmlformats.org/officeDocument/2006/relationships/hyperlink" Target="https://ec.europa.eu/atwork/applying-eu-law/infringements-proceedings/infringement_decisions/?typeOfSearch=false&amp;active_only=0&amp;noncom=0&amp;r_dossier=INFR%282021%290260&amp;decision_date_from=&amp;decision_date_to=&amp;title=&amp;submit=Search&amp;lang_code=ro" TargetMode="External"/><Relationship Id="rId264" Type="http://schemas.openxmlformats.org/officeDocument/2006/relationships/hyperlink" Target="https://ec.europa.eu/info/sites/default/files/ruleoflaw2021_toolbox_factsheet_en.pdf" TargetMode="External"/><Relationship Id="rId285" Type="http://schemas.openxmlformats.org/officeDocument/2006/relationships/hyperlink" Target="https://ec.europa.eu/home-affairs/policies/migration-and-asylum/common-european-asylum-system/temporary-protection_en" TargetMode="External"/><Relationship Id="rId17" Type="http://schemas.openxmlformats.org/officeDocument/2006/relationships/hyperlink" Target="https://gov.ro/fisiere/stiri_fisiere/Hotarare_CNSU_nr._24_din_21.05.2022.pdf" TargetMode="External"/><Relationship Id="rId38" Type="http://schemas.openxmlformats.org/officeDocument/2006/relationships/hyperlink" Target="https://www.fonduri-structurale.ro/stiri/28817/proiectul-de-procedura-pentru-acordarea-de-granturi-pentru-capital-de-lucru-pentru-immurile-din-domeniul-agroalimentar-lansat-spre-consultare-publica" TargetMode="External"/><Relationship Id="rId59" Type="http://schemas.openxmlformats.org/officeDocument/2006/relationships/hyperlink" Target="https://trade.ec.europa.eu/doclib/docs/2021/june/tradoc_159642.pdf" TargetMode="External"/><Relationship Id="rId103" Type="http://schemas.openxmlformats.org/officeDocument/2006/relationships/hyperlink" Target="https://cor.europa.eu/en/our-work/Pages/sedec.aspx" TargetMode="External"/><Relationship Id="rId124" Type="http://schemas.openxmlformats.org/officeDocument/2006/relationships/hyperlink" Target="javascript:void(0)" TargetMode="External"/><Relationship Id="rId70" Type="http://schemas.openxmlformats.org/officeDocument/2006/relationships/hyperlink" Target="https://futurium.ec.europa.eu/en/EU-US-TTC?language=ro" TargetMode="External"/><Relationship Id="rId91" Type="http://schemas.openxmlformats.org/officeDocument/2006/relationships/hyperlink" Target="javascript:void(0)" TargetMode="External"/><Relationship Id="rId145" Type="http://schemas.openxmlformats.org/officeDocument/2006/relationships/hyperlink" Target="https://ec.europa.eu/info/strategy/priorities-2019-2024/stronger-europe-world/eu-solidarity-ukraine/eu-sanctions-against-russia-following-invasion-ukraine_en" TargetMode="External"/><Relationship Id="rId166" Type="http://schemas.openxmlformats.org/officeDocument/2006/relationships/hyperlink" Target="javascript:void(0)" TargetMode="External"/><Relationship Id="rId187" Type="http://schemas.openxmlformats.org/officeDocument/2006/relationships/hyperlink" Target="https://ec.europa.eu/commission/presscorner/detail/en/FS_22_3138" TargetMode="External"/><Relationship Id="rId1" Type="http://schemas.openxmlformats.org/officeDocument/2006/relationships/customXml" Target="../customXml/item1.xml"/><Relationship Id="rId212" Type="http://schemas.openxmlformats.org/officeDocument/2006/relationships/hyperlink" Target="javascript:void(0)" TargetMode="External"/><Relationship Id="rId233" Type="http://schemas.openxmlformats.org/officeDocument/2006/relationships/hyperlink" Target="https://eur-lex.europa.eu/legal-content/RO/TXT/?uri=celex%3A32002F0584" TargetMode="External"/><Relationship Id="rId254" Type="http://schemas.openxmlformats.org/officeDocument/2006/relationships/image" Target="media/image15.png"/><Relationship Id="rId28" Type="http://schemas.openxmlformats.org/officeDocument/2006/relationships/hyperlink" Target="https://www.fonduri-structurale.ro/descarca-document/39486" TargetMode="External"/><Relationship Id="rId49" Type="http://schemas.openxmlformats.org/officeDocument/2006/relationships/hyperlink" Target="https://twitter.com/VDombrovskis?ref_src=twsrc%5Egoogle%7Ctwcamp%5Eserp%7Ctwgr%5Eauthor" TargetMode="External"/><Relationship Id="rId114" Type="http://schemas.openxmlformats.org/officeDocument/2006/relationships/hyperlink" Target="javascript:void(0)" TargetMode="External"/><Relationship Id="rId275" Type="http://schemas.openxmlformats.org/officeDocument/2006/relationships/hyperlink" Target="javascript:void(0)" TargetMode="External"/><Relationship Id="rId296" Type="http://schemas.openxmlformats.org/officeDocument/2006/relationships/hyperlink" Target="https://ec.europa.eu/info/files/ukraine-relief-and-reconstruction_en" TargetMode="External"/><Relationship Id="rId300" Type="http://schemas.openxmlformats.org/officeDocument/2006/relationships/image" Target="media/image21.emf"/><Relationship Id="rId60" Type="http://schemas.openxmlformats.org/officeDocument/2006/relationships/hyperlink" Target="https://circabc.europa.eu/ui/group/09242a36-a438-40fd-a7af-fe32e36cbd0e/library/14bf0332-62ee-411b-8c74-bea38cd79efb/details" TargetMode="External"/><Relationship Id="rId81" Type="http://schemas.openxmlformats.org/officeDocument/2006/relationships/hyperlink" Target="https://ec.europa.eu/info/strategy/priorities-2019-2024/economy-works-people/jobs-growth-and-investment/european-pillar-social-rights_ro" TargetMode="External"/><Relationship Id="rId135" Type="http://schemas.openxmlformats.org/officeDocument/2006/relationships/hyperlink" Target="https://energy.ec.europa.eu/proposal-amend-directive-res-promotion-and-epbd-com2022222_en" TargetMode="External"/><Relationship Id="rId156" Type="http://schemas.openxmlformats.org/officeDocument/2006/relationships/hyperlink" Target="javascript:void(0)" TargetMode="External"/><Relationship Id="rId177" Type="http://schemas.openxmlformats.org/officeDocument/2006/relationships/hyperlink" Target="https://ec.europa.eu/commission/presscorner/detail/ro/qanda_22_3132" TargetMode="External"/><Relationship Id="rId198" Type="http://schemas.openxmlformats.org/officeDocument/2006/relationships/hyperlink" Target="javascript:void(0)" TargetMode="External"/><Relationship Id="rId202" Type="http://schemas.openxmlformats.org/officeDocument/2006/relationships/hyperlink" Target="https://ec.europa.eu/atwork/applying-eu-law/infringements-proceedings/infringement_decisions/?typeOfSearch=false&amp;active_only=0&amp;noncom=0&amp;r_dossier=INFR%282020%290510&amp;decision_date_from=&amp;decision_date_to=&amp;title=&amp;submit=Search&amp;lang_code=ro" TargetMode="External"/><Relationship Id="rId223" Type="http://schemas.openxmlformats.org/officeDocument/2006/relationships/hyperlink" Target="https://digital-strategy.ec.europa.eu/en/policies/revision-avmsd" TargetMode="External"/><Relationship Id="rId244" Type="http://schemas.openxmlformats.org/officeDocument/2006/relationships/hyperlink" Target="https://ec.europa.eu/atwork/applying-eu-law/infringements-proceedings/infringement_decisions/?typeOfSearch=false&amp;active_only=0&amp;noncom=0&amp;r_dossier=INFR%282021%290286&amp;decision_date_from=&amp;decision_date_to=&amp;title=&amp;submit=Search&amp;lang_code=ro" TargetMode="External"/><Relationship Id="rId18" Type="http://schemas.openxmlformats.org/officeDocument/2006/relationships/hyperlink" Target="https://gov.ro/fisiere/stiri_fisiere/Anexa_la_HCNSU_nr_24_din_21.05.2022.pdf" TargetMode="External"/><Relationship Id="rId39" Type="http://schemas.openxmlformats.org/officeDocument/2006/relationships/hyperlink" Target="https://www.fonduri-structurale.ro/stiri/28835/procedura-pentru-acordarea-de-microgranturi-intreprinderilor-din-sectorul-agroalimentar-in-consultare-publica" TargetMode="External"/><Relationship Id="rId265" Type="http://schemas.openxmlformats.org/officeDocument/2006/relationships/hyperlink" Target="javascript:void(0)" TargetMode="External"/><Relationship Id="rId286" Type="http://schemas.openxmlformats.org/officeDocument/2006/relationships/hyperlink" Target="javascript:void(0)" TargetMode="External"/><Relationship Id="rId50" Type="http://schemas.openxmlformats.org/officeDocument/2006/relationships/hyperlink" Target="https://twitter.com/PaoloGentiloni" TargetMode="External"/><Relationship Id="rId104" Type="http://schemas.openxmlformats.org/officeDocument/2006/relationships/hyperlink" Target="javascript:void(0)" TargetMode="External"/><Relationship Id="rId125" Type="http://schemas.openxmlformats.org/officeDocument/2006/relationships/hyperlink" Target="https://energy.ec.europa.eu/communication-eu-save-energy-com2022240_ro" TargetMode="External"/><Relationship Id="rId146" Type="http://schemas.openxmlformats.org/officeDocument/2006/relationships/hyperlink" Target="javascript:void(0)" TargetMode="External"/><Relationship Id="rId167" Type="http://schemas.openxmlformats.org/officeDocument/2006/relationships/hyperlink" Target="https://energy.ec.europa.eu/proposal-amend-directive-res-promotion-and-epbd-com2022222_en" TargetMode="External"/><Relationship Id="rId188" Type="http://schemas.openxmlformats.org/officeDocument/2006/relationships/hyperlink" Target="javascript:void(0)" TargetMode="External"/><Relationship Id="rId71" Type="http://schemas.openxmlformats.org/officeDocument/2006/relationships/hyperlink" Target="javascript:void(0)" TargetMode="External"/><Relationship Id="rId92" Type="http://schemas.openxmlformats.org/officeDocument/2006/relationships/hyperlink" Target="https://europa.eu/youth/year-of-youth_ro" TargetMode="External"/><Relationship Id="rId213" Type="http://schemas.openxmlformats.org/officeDocument/2006/relationships/hyperlink" Target="https://ec.europa.eu/commission/presscorner/detail/ro/inf_21_5342" TargetMode="External"/><Relationship Id="rId234"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mailto:acte.normative@mfe.gov.ro" TargetMode="External"/><Relationship Id="rId255" Type="http://schemas.openxmlformats.org/officeDocument/2006/relationships/hyperlink" Target="https://ec.europa.eu/atwork/applying-eu-law/infringements-proceedings/infringement_decisions/?typeOfSearch=true&amp;active_only=0&amp;noncom=0&amp;r_dossier=INFR%282021%290493&amp;decision_date_from=&amp;decision_date_to=&amp;EM=RO&amp;title=&amp;submit=Search&amp;lang_code=ro" TargetMode="External"/><Relationship Id="rId276" Type="http://schemas.openxmlformats.org/officeDocument/2006/relationships/hyperlink" Target="https://ec.europa.eu/info/policies/justice-and-fundamental-rights/upholding-rule-law/rule-law/rule-law-mechanism/2021-rule-law-report/2021-rule-law-report-communication-and-country-chapters_ro" TargetMode="External"/><Relationship Id="rId297" Type="http://schemas.openxmlformats.org/officeDocument/2006/relationships/hyperlink" Target="javascript:voi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5E339-8FB5-4EC9-A53D-513324B71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334</TotalTime>
  <Pages>52</Pages>
  <Words>32111</Words>
  <Characters>186245</Characters>
  <Application>Microsoft Office Word</Application>
  <DocSecurity>0</DocSecurity>
  <Lines>1552</Lines>
  <Paragraphs>435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217921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14</cp:revision>
  <cp:lastPrinted>2022-05-23T09:03:00Z</cp:lastPrinted>
  <dcterms:created xsi:type="dcterms:W3CDTF">2022-05-19T05:46:00Z</dcterms:created>
  <dcterms:modified xsi:type="dcterms:W3CDTF">2022-05-23T09:03:00Z</dcterms:modified>
</cp:coreProperties>
</file>