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51905D04" w:rsidR="006870C9" w:rsidRPr="006870C9" w:rsidRDefault="008652DB" w:rsidP="00B2000B">
      <w:pPr>
        <w:ind w:right="198"/>
        <w:jc w:val="center"/>
      </w:pPr>
      <w:bookmarkStart w:id="0" w:name="_GoBack"/>
      <w:bookmarkEnd w:id="0"/>
      <w:r w:rsidRPr="00F50627">
        <w:rPr>
          <w:b/>
          <w:bCs/>
          <w:i/>
          <w:iCs/>
          <w:noProof/>
          <w:sz w:val="24"/>
          <w:szCs w:val="15"/>
          <w:lang w:eastAsia="ro-RO"/>
        </w:rPr>
        <w:drawing>
          <wp:anchor distT="0" distB="0" distL="114300" distR="114300" simplePos="0" relativeHeight="251935744" behindDoc="0" locked="0" layoutInCell="1" allowOverlap="1" wp14:anchorId="28DE11E7" wp14:editId="2A4D342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7B39C1AA" w:rsidR="00697BDC" w:rsidRDefault="00F16F29" w:rsidP="00697BDC">
      <w:pPr>
        <w:jc w:val="center"/>
      </w:pPr>
      <w:r>
        <w:rPr>
          <w:noProof/>
          <w:lang w:eastAsia="ro-RO"/>
        </w:rPr>
        <w:t xml:space="preserve">  </w:t>
      </w:r>
    </w:p>
    <w:p w14:paraId="11AD33F6" w14:textId="51F9BAE1"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41856" behindDoc="1" locked="0" layoutInCell="1" allowOverlap="1" wp14:anchorId="3BA79E6E" wp14:editId="3D4C3B95">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23E7A3D9" w14:textId="3DDD2249"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A174A6" w14:textId="26429BAE" w:rsidR="0029188B" w:rsidRDefault="0029188B" w:rsidP="00B2000B">
      <w:pPr>
        <w:tabs>
          <w:tab w:val="left" w:pos="4170"/>
        </w:tabs>
        <w:spacing w:before="0"/>
        <w:ind w:right="198" w:firstLine="567"/>
        <w:jc w:val="both"/>
        <w:rPr>
          <w:rFonts w:ascii="Book Antiqua" w:hAnsi="Book Antiqua"/>
          <w:b/>
          <w:bCs/>
          <w:i/>
          <w:iCs/>
          <w:sz w:val="24"/>
          <w:szCs w:val="18"/>
        </w:rPr>
      </w:pPr>
    </w:p>
    <w:p w14:paraId="0704C738" w14:textId="339CE24E" w:rsidR="0029188B" w:rsidRDefault="00504BC6"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2880" behindDoc="1" locked="0" layoutInCell="1" allowOverlap="1" wp14:anchorId="651C52AA" wp14:editId="7F8F57BF">
                <wp:simplePos x="0" y="0"/>
                <wp:positionH relativeFrom="column">
                  <wp:posOffset>284081</wp:posOffset>
                </wp:positionH>
                <wp:positionV relativeFrom="page">
                  <wp:posOffset>1531088</wp:posOffset>
                </wp:positionV>
                <wp:extent cx="6064885" cy="8389089"/>
                <wp:effectExtent l="38100" t="38100" r="31115" b="3111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389089"/>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AF6222" w:rsidRDefault="00AF6222"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2.35pt;margin-top:120.55pt;width:477.55pt;height:66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" fillcolor="#cdddeb" strokecolor="gray" strokeweight="6.25pt">
                <v:fill opacity="52428f"/>
                <v:stroke linestyle="thickThin"/>
                <v:textbox>
                  <w:txbxContent>
                    <w:p w14:paraId="4D240BDE" w14:textId="77777777" w:rsidR="00AF6222" w:rsidRDefault="00AF6222" w:rsidP="00F16F29">
                      <w:pPr>
                        <w:jc w:val="center"/>
                      </w:pPr>
                    </w:p>
                  </w:txbxContent>
                </v:textbox>
                <w10:wrap anchory="page"/>
              </v:rect>
            </w:pict>
          </mc:Fallback>
        </mc:AlternateContent>
      </w:r>
    </w:p>
    <w:p w14:paraId="5D5B6AB0" w14:textId="3AEDB7F6" w:rsidR="0029188B" w:rsidRDefault="0029188B" w:rsidP="00B2000B">
      <w:pPr>
        <w:tabs>
          <w:tab w:val="left" w:pos="4170"/>
        </w:tabs>
        <w:spacing w:before="0"/>
        <w:ind w:right="198" w:firstLine="567"/>
        <w:jc w:val="both"/>
        <w:rPr>
          <w:rFonts w:ascii="Book Antiqua" w:hAnsi="Book Antiqua"/>
          <w:b/>
          <w:bCs/>
          <w:i/>
          <w:iCs/>
          <w:sz w:val="24"/>
          <w:szCs w:val="18"/>
        </w:rPr>
      </w:pPr>
    </w:p>
    <w:p w14:paraId="64343A3C" w14:textId="694DD979"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17D6F3A4"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0F8F1642" w14:textId="77777777" w:rsidR="00504BC6"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1E4CD98B">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0249134F" w:rsidR="00AF6222" w:rsidRDefault="00AF622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8</w:t>
                            </w:r>
                          </w:p>
                          <w:p w14:paraId="300DDA87" w14:textId="162C012C" w:rsidR="00AF6222" w:rsidRPr="005E3F6E" w:rsidRDefault="00AF6222" w:rsidP="006932BF">
                            <w:pPr>
                              <w:spacing w:after="120"/>
                              <w:jc w:val="center"/>
                              <w:rPr>
                                <w:rFonts w:ascii="Book Antiqua" w:hAnsi="Book Antiqua"/>
                                <w:b/>
                                <w:color w:val="000080"/>
                                <w:spacing w:val="10"/>
                                <w:szCs w:val="18"/>
                              </w:rPr>
                            </w:pPr>
                            <w:r>
                              <w:rPr>
                                <w:rFonts w:ascii="Book Antiqua" w:hAnsi="Book Antiqua"/>
                                <w:b/>
                                <w:color w:val="000080"/>
                                <w:spacing w:val="10"/>
                                <w:szCs w:val="18"/>
                              </w:rPr>
                              <w:t>21 – 25 februarie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EmXoQaAgAAFwQAAA4AAAAAAAAAAAAAAAAALgIAAGRycy9lMm9Eb2MueG1sUEsB&#10;Ai0AFAAGAAgAAAAhADm3Q5LiAAAADgEAAA8AAAAAAAAAAAAAAAAAdAQAAGRycy9kb3ducmV2Lnht&#10;bFBLBQYAAAAABAAEAPMAAACDBQAAAAA=&#10;" stroked="f">
                <v:fill opacity="0"/>
                <v:textbox>
                  <w:txbxContent>
                    <w:p w14:paraId="3A783173" w14:textId="0249134F" w:rsidR="00AF6222" w:rsidRDefault="00AF622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8</w:t>
                      </w:r>
                    </w:p>
                    <w:p w14:paraId="300DDA87" w14:textId="162C012C" w:rsidR="00AF6222" w:rsidRPr="005E3F6E" w:rsidRDefault="00AF6222" w:rsidP="006932BF">
                      <w:pPr>
                        <w:spacing w:after="120"/>
                        <w:jc w:val="center"/>
                        <w:rPr>
                          <w:rFonts w:ascii="Book Antiqua" w:hAnsi="Book Antiqua"/>
                          <w:b/>
                          <w:color w:val="000080"/>
                          <w:spacing w:val="10"/>
                          <w:szCs w:val="18"/>
                        </w:rPr>
                      </w:pPr>
                      <w:r>
                        <w:rPr>
                          <w:rFonts w:ascii="Book Antiqua" w:hAnsi="Book Antiqua"/>
                          <w:b/>
                          <w:color w:val="000080"/>
                          <w:spacing w:val="10"/>
                          <w:szCs w:val="18"/>
                        </w:rPr>
                        <w:t>21 – 25 februarie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7F55917A" w14:textId="77777777"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44" w:history="1">
        <w:r w:rsidRPr="006D1EF1">
          <w:rPr>
            <w:rStyle w:val="Hyperlink"/>
            <w:rFonts w:ascii="Book Antiqua" w:hAnsi="Book Antiqua"/>
          </w:rPr>
          <w:t xml:space="preserve">Repere din agenda publică a conducerii Instituţiei Prefectului -  Judeţul  Hunedoara  în  </w:t>
        </w:r>
        <w:r w:rsidRPr="006D1EF1">
          <w:rPr>
            <w:rStyle w:val="Hyperlink"/>
            <w:rFonts w:ascii="Book Antiqua" w:hAnsi="Book Antiqua"/>
            <w:spacing w:val="-6"/>
          </w:rPr>
          <w:t>perioada 21 – 25  februarie, 2022</w:t>
        </w:r>
        <w:r>
          <w:rPr>
            <w:webHidden/>
          </w:rPr>
          <w:tab/>
        </w:r>
        <w:r>
          <w:rPr>
            <w:webHidden/>
          </w:rPr>
          <w:fldChar w:fldCharType="begin"/>
        </w:r>
        <w:r>
          <w:rPr>
            <w:webHidden/>
          </w:rPr>
          <w:instrText xml:space="preserve"> PAGEREF _Toc96929044 \h </w:instrText>
        </w:r>
        <w:r>
          <w:rPr>
            <w:webHidden/>
          </w:rPr>
        </w:r>
        <w:r>
          <w:rPr>
            <w:webHidden/>
          </w:rPr>
          <w:fldChar w:fldCharType="separate"/>
        </w:r>
        <w:r w:rsidR="00F33B61">
          <w:rPr>
            <w:webHidden/>
          </w:rPr>
          <w:t>3</w:t>
        </w:r>
        <w:r>
          <w:rPr>
            <w:webHidden/>
          </w:rPr>
          <w:fldChar w:fldCharType="end"/>
        </w:r>
      </w:hyperlink>
    </w:p>
    <w:p w14:paraId="10BAFBAC" w14:textId="77777777"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45" w:history="1">
        <w:r w:rsidRPr="006D1EF1">
          <w:rPr>
            <w:rStyle w:val="Hyperlink"/>
            <w:rFonts w:ascii="Book Antiqua" w:hAnsi="Book Antiqua"/>
            <w:spacing w:val="-6"/>
          </w:rPr>
          <w:t>Selec</w:t>
        </w:r>
        <w:r w:rsidRPr="006D1EF1">
          <w:rPr>
            <w:rStyle w:val="Hyperlink"/>
            <w:rFonts w:ascii="Cambria" w:hAnsi="Cambria" w:cs="Cambria"/>
            <w:spacing w:val="-6"/>
          </w:rPr>
          <w:t>ț</w:t>
        </w:r>
        <w:r w:rsidRPr="006D1EF1">
          <w:rPr>
            <w:rStyle w:val="Hyperlink"/>
            <w:rFonts w:ascii="Book Antiqua" w:hAnsi="Book Antiqua"/>
            <w:spacing w:val="-6"/>
          </w:rPr>
          <w:t>ie de Acte normative apărute în Monitorul Oficial al României</w:t>
        </w:r>
        <w:r w:rsidRPr="006D1EF1">
          <w:rPr>
            <w:rStyle w:val="Hyperlink"/>
          </w:rPr>
          <w:t xml:space="preserve">  </w:t>
        </w:r>
        <w:r w:rsidRPr="006D1EF1">
          <w:rPr>
            <w:rStyle w:val="Hyperlink"/>
            <w:rFonts w:ascii="Book Antiqua" w:hAnsi="Book Antiqua"/>
            <w:spacing w:val="-6"/>
          </w:rPr>
          <w:t>în perioada   21 – 25  februarie, 2022</w:t>
        </w:r>
        <w:r>
          <w:rPr>
            <w:webHidden/>
          </w:rPr>
          <w:tab/>
        </w:r>
        <w:r>
          <w:rPr>
            <w:webHidden/>
          </w:rPr>
          <w:fldChar w:fldCharType="begin"/>
        </w:r>
        <w:r>
          <w:rPr>
            <w:webHidden/>
          </w:rPr>
          <w:instrText xml:space="preserve"> PAGEREF _Toc96929045 \h </w:instrText>
        </w:r>
        <w:r>
          <w:rPr>
            <w:webHidden/>
          </w:rPr>
        </w:r>
        <w:r>
          <w:rPr>
            <w:webHidden/>
          </w:rPr>
          <w:fldChar w:fldCharType="separate"/>
        </w:r>
        <w:r w:rsidR="00F33B61">
          <w:rPr>
            <w:webHidden/>
          </w:rPr>
          <w:t>3</w:t>
        </w:r>
        <w:r>
          <w:rPr>
            <w:webHidden/>
          </w:rPr>
          <w:fldChar w:fldCharType="end"/>
        </w:r>
      </w:hyperlink>
    </w:p>
    <w:p w14:paraId="70559CD2" w14:textId="77777777"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46" w:history="1">
        <w:r w:rsidRPr="006D1EF1">
          <w:rPr>
            <w:rStyle w:val="Hyperlink"/>
          </w:rPr>
          <w:t>Comunicate de presă ale Guvernului României</w:t>
        </w:r>
        <w:r>
          <w:rPr>
            <w:webHidden/>
          </w:rPr>
          <w:tab/>
        </w:r>
        <w:r>
          <w:rPr>
            <w:webHidden/>
          </w:rPr>
          <w:fldChar w:fldCharType="begin"/>
        </w:r>
        <w:r>
          <w:rPr>
            <w:webHidden/>
          </w:rPr>
          <w:instrText xml:space="preserve"> PAGEREF _Toc96929046 \h </w:instrText>
        </w:r>
        <w:r>
          <w:rPr>
            <w:webHidden/>
          </w:rPr>
        </w:r>
        <w:r>
          <w:rPr>
            <w:webHidden/>
          </w:rPr>
          <w:fldChar w:fldCharType="separate"/>
        </w:r>
        <w:r w:rsidR="00F33B61">
          <w:rPr>
            <w:webHidden/>
          </w:rPr>
          <w:t>4</w:t>
        </w:r>
        <w:r>
          <w:rPr>
            <w:webHidden/>
          </w:rPr>
          <w:fldChar w:fldCharType="end"/>
        </w:r>
      </w:hyperlink>
    </w:p>
    <w:p w14:paraId="1F6E0BFE"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47" w:history="1">
        <w:r w:rsidRPr="00504BC6">
          <w:rPr>
            <w:rStyle w:val="Hyperlink"/>
            <w:spacing w:val="-6"/>
          </w:rPr>
          <w:t>Întâlnirea prim-ministrului Nicolae-Ionel Ciucă cu reprezentanții Camerei de Comerț Italiană pentru România</w:t>
        </w:r>
        <w:r w:rsidRPr="00504BC6">
          <w:rPr>
            <w:webHidden/>
            <w:spacing w:val="-6"/>
          </w:rPr>
          <w:tab/>
        </w:r>
        <w:r w:rsidRPr="00504BC6">
          <w:rPr>
            <w:webHidden/>
            <w:spacing w:val="-6"/>
          </w:rPr>
          <w:fldChar w:fldCharType="begin"/>
        </w:r>
        <w:r w:rsidRPr="00504BC6">
          <w:rPr>
            <w:webHidden/>
            <w:spacing w:val="-6"/>
          </w:rPr>
          <w:instrText xml:space="preserve"> PAGEREF _Toc96929047 \h </w:instrText>
        </w:r>
        <w:r w:rsidRPr="00504BC6">
          <w:rPr>
            <w:webHidden/>
            <w:spacing w:val="-6"/>
          </w:rPr>
        </w:r>
        <w:r w:rsidRPr="00504BC6">
          <w:rPr>
            <w:webHidden/>
            <w:spacing w:val="-6"/>
          </w:rPr>
          <w:fldChar w:fldCharType="separate"/>
        </w:r>
        <w:r w:rsidR="00F33B61">
          <w:rPr>
            <w:webHidden/>
            <w:spacing w:val="-6"/>
          </w:rPr>
          <w:t>4</w:t>
        </w:r>
        <w:r w:rsidRPr="00504BC6">
          <w:rPr>
            <w:webHidden/>
            <w:spacing w:val="-6"/>
          </w:rPr>
          <w:fldChar w:fldCharType="end"/>
        </w:r>
      </w:hyperlink>
    </w:p>
    <w:p w14:paraId="5BCED1BC"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48" w:history="1">
        <w:r w:rsidRPr="00504BC6">
          <w:rPr>
            <w:rStyle w:val="Hyperlink"/>
            <w:spacing w:val="-6"/>
          </w:rPr>
          <w:t>Măsuri guvernamentale pentru gestionarea efectelor creșterii prețurilor la energie și gaze naturale</w:t>
        </w:r>
        <w:r w:rsidRPr="00504BC6">
          <w:rPr>
            <w:webHidden/>
            <w:spacing w:val="-6"/>
          </w:rPr>
          <w:tab/>
        </w:r>
        <w:r w:rsidRPr="00504BC6">
          <w:rPr>
            <w:webHidden/>
            <w:spacing w:val="-6"/>
          </w:rPr>
          <w:fldChar w:fldCharType="begin"/>
        </w:r>
        <w:r w:rsidRPr="00504BC6">
          <w:rPr>
            <w:webHidden/>
            <w:spacing w:val="-6"/>
          </w:rPr>
          <w:instrText xml:space="preserve"> PAGEREF _Toc96929048 \h </w:instrText>
        </w:r>
        <w:r w:rsidRPr="00504BC6">
          <w:rPr>
            <w:webHidden/>
            <w:spacing w:val="-6"/>
          </w:rPr>
        </w:r>
        <w:r w:rsidRPr="00504BC6">
          <w:rPr>
            <w:webHidden/>
            <w:spacing w:val="-6"/>
          </w:rPr>
          <w:fldChar w:fldCharType="separate"/>
        </w:r>
        <w:r w:rsidR="00F33B61">
          <w:rPr>
            <w:webHidden/>
            <w:spacing w:val="-6"/>
          </w:rPr>
          <w:t>5</w:t>
        </w:r>
        <w:r w:rsidRPr="00504BC6">
          <w:rPr>
            <w:webHidden/>
            <w:spacing w:val="-6"/>
          </w:rPr>
          <w:fldChar w:fldCharType="end"/>
        </w:r>
      </w:hyperlink>
    </w:p>
    <w:p w14:paraId="2850F78F" w14:textId="39B94BA2" w:rsidR="00504BC6" w:rsidRPr="00504BC6" w:rsidRDefault="00504BC6">
      <w:pPr>
        <w:pStyle w:val="TOC4"/>
        <w:rPr>
          <w:rFonts w:asciiTheme="minorHAnsi" w:eastAsiaTheme="minorEastAsia" w:hAnsiTheme="minorHAnsi" w:cstheme="minorBidi"/>
          <w:spacing w:val="-6"/>
          <w:sz w:val="22"/>
          <w:szCs w:val="22"/>
          <w:lang w:eastAsia="ro-RO"/>
        </w:rPr>
      </w:pPr>
      <w:hyperlink w:anchor="_Toc96929049" w:history="1">
        <w:r w:rsidRPr="00504BC6">
          <w:rPr>
            <w:rStyle w:val="Hyperlink"/>
            <w:spacing w:val="-6"/>
          </w:rPr>
          <w:t>Întâlnirea prim-ministrului Nicolae-Ionel Ciucă cu directorul Agenției Europene pentru Cooperarea Reglementatorilor din domeniul Energiei</w:t>
        </w:r>
        <w:r w:rsidRPr="00504BC6">
          <w:rPr>
            <w:webHidden/>
            <w:spacing w:val="-6"/>
          </w:rPr>
          <w:tab/>
        </w:r>
        <w:r w:rsidRPr="00504BC6">
          <w:rPr>
            <w:webHidden/>
            <w:spacing w:val="-6"/>
          </w:rPr>
          <w:fldChar w:fldCharType="begin"/>
        </w:r>
        <w:r w:rsidRPr="00504BC6">
          <w:rPr>
            <w:webHidden/>
            <w:spacing w:val="-6"/>
          </w:rPr>
          <w:instrText xml:space="preserve"> PAGEREF _Toc96929049 \h </w:instrText>
        </w:r>
        <w:r w:rsidRPr="00504BC6">
          <w:rPr>
            <w:webHidden/>
            <w:spacing w:val="-6"/>
          </w:rPr>
        </w:r>
        <w:r w:rsidRPr="00504BC6">
          <w:rPr>
            <w:webHidden/>
            <w:spacing w:val="-6"/>
          </w:rPr>
          <w:fldChar w:fldCharType="separate"/>
        </w:r>
        <w:r w:rsidR="00F33B61">
          <w:rPr>
            <w:webHidden/>
            <w:spacing w:val="-6"/>
          </w:rPr>
          <w:t>6</w:t>
        </w:r>
        <w:r w:rsidRPr="00504BC6">
          <w:rPr>
            <w:webHidden/>
            <w:spacing w:val="-6"/>
          </w:rPr>
          <w:fldChar w:fldCharType="end"/>
        </w:r>
      </w:hyperlink>
    </w:p>
    <w:p w14:paraId="4535EFC2"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50" w:history="1">
        <w:r w:rsidRPr="00504BC6">
          <w:rPr>
            <w:rStyle w:val="Hyperlink"/>
            <w:spacing w:val="-6"/>
          </w:rPr>
          <w:t>Întrevederea premierului Nicolae-Ionel Ciucă cu delegația Consiliului de afaceri americano–român (AMRO)</w:t>
        </w:r>
        <w:r w:rsidRPr="00504BC6">
          <w:rPr>
            <w:webHidden/>
            <w:spacing w:val="-6"/>
          </w:rPr>
          <w:tab/>
        </w:r>
        <w:r w:rsidRPr="00504BC6">
          <w:rPr>
            <w:webHidden/>
            <w:spacing w:val="-6"/>
          </w:rPr>
          <w:fldChar w:fldCharType="begin"/>
        </w:r>
        <w:r w:rsidRPr="00504BC6">
          <w:rPr>
            <w:webHidden/>
            <w:spacing w:val="-6"/>
          </w:rPr>
          <w:instrText xml:space="preserve"> PAGEREF _Toc96929050 \h </w:instrText>
        </w:r>
        <w:r w:rsidRPr="00504BC6">
          <w:rPr>
            <w:webHidden/>
            <w:spacing w:val="-6"/>
          </w:rPr>
        </w:r>
        <w:r w:rsidRPr="00504BC6">
          <w:rPr>
            <w:webHidden/>
            <w:spacing w:val="-6"/>
          </w:rPr>
          <w:fldChar w:fldCharType="separate"/>
        </w:r>
        <w:r w:rsidR="00F33B61">
          <w:rPr>
            <w:webHidden/>
            <w:spacing w:val="-6"/>
          </w:rPr>
          <w:t>6</w:t>
        </w:r>
        <w:r w:rsidRPr="00504BC6">
          <w:rPr>
            <w:webHidden/>
            <w:spacing w:val="-6"/>
          </w:rPr>
          <w:fldChar w:fldCharType="end"/>
        </w:r>
      </w:hyperlink>
    </w:p>
    <w:p w14:paraId="413BB1E7"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51" w:history="1">
        <w:r w:rsidRPr="00504BC6">
          <w:rPr>
            <w:rStyle w:val="Hyperlink"/>
            <w:spacing w:val="-6"/>
          </w:rPr>
          <w:t>Convorbirea telefonică dintre prim-ministrul Nicolae-Ionel Ciucă și prim-ministrul Statului Israel, Naftali Bennett</w:t>
        </w:r>
        <w:r w:rsidRPr="00504BC6">
          <w:rPr>
            <w:webHidden/>
            <w:spacing w:val="-6"/>
          </w:rPr>
          <w:tab/>
        </w:r>
        <w:r w:rsidRPr="00504BC6">
          <w:rPr>
            <w:webHidden/>
            <w:spacing w:val="-6"/>
          </w:rPr>
          <w:fldChar w:fldCharType="begin"/>
        </w:r>
        <w:r w:rsidRPr="00504BC6">
          <w:rPr>
            <w:webHidden/>
            <w:spacing w:val="-6"/>
          </w:rPr>
          <w:instrText xml:space="preserve"> PAGEREF _Toc96929051 \h </w:instrText>
        </w:r>
        <w:r w:rsidRPr="00504BC6">
          <w:rPr>
            <w:webHidden/>
            <w:spacing w:val="-6"/>
          </w:rPr>
        </w:r>
        <w:r w:rsidRPr="00504BC6">
          <w:rPr>
            <w:webHidden/>
            <w:spacing w:val="-6"/>
          </w:rPr>
          <w:fldChar w:fldCharType="separate"/>
        </w:r>
        <w:r w:rsidR="00F33B61">
          <w:rPr>
            <w:webHidden/>
            <w:spacing w:val="-6"/>
          </w:rPr>
          <w:t>7</w:t>
        </w:r>
        <w:r w:rsidRPr="00504BC6">
          <w:rPr>
            <w:webHidden/>
            <w:spacing w:val="-6"/>
          </w:rPr>
          <w:fldChar w:fldCharType="end"/>
        </w:r>
      </w:hyperlink>
    </w:p>
    <w:p w14:paraId="2A24CF40"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52" w:history="1">
        <w:r w:rsidRPr="00504BC6">
          <w:rPr>
            <w:rStyle w:val="Hyperlink"/>
            <w:spacing w:val="-6"/>
          </w:rPr>
          <w:t>Condamnarea de către prim-ministrul României, Nicolae-Ionel Ciucă, a agresiunii Federației Ruse împotriva Ucrainei</w:t>
        </w:r>
        <w:r w:rsidRPr="00504BC6">
          <w:rPr>
            <w:webHidden/>
            <w:spacing w:val="-6"/>
          </w:rPr>
          <w:tab/>
        </w:r>
        <w:r w:rsidRPr="00504BC6">
          <w:rPr>
            <w:webHidden/>
            <w:spacing w:val="-6"/>
          </w:rPr>
          <w:fldChar w:fldCharType="begin"/>
        </w:r>
        <w:r w:rsidRPr="00504BC6">
          <w:rPr>
            <w:webHidden/>
            <w:spacing w:val="-6"/>
          </w:rPr>
          <w:instrText xml:space="preserve"> PAGEREF _Toc96929052 \h </w:instrText>
        </w:r>
        <w:r w:rsidRPr="00504BC6">
          <w:rPr>
            <w:webHidden/>
            <w:spacing w:val="-6"/>
          </w:rPr>
        </w:r>
        <w:r w:rsidRPr="00504BC6">
          <w:rPr>
            <w:webHidden/>
            <w:spacing w:val="-6"/>
          </w:rPr>
          <w:fldChar w:fldCharType="separate"/>
        </w:r>
        <w:r w:rsidR="00F33B61">
          <w:rPr>
            <w:webHidden/>
            <w:spacing w:val="-6"/>
          </w:rPr>
          <w:t>7</w:t>
        </w:r>
        <w:r w:rsidRPr="00504BC6">
          <w:rPr>
            <w:webHidden/>
            <w:spacing w:val="-6"/>
          </w:rPr>
          <w:fldChar w:fldCharType="end"/>
        </w:r>
      </w:hyperlink>
    </w:p>
    <w:p w14:paraId="612F860B"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53" w:history="1">
        <w:r w:rsidRPr="00504BC6">
          <w:rPr>
            <w:rStyle w:val="Hyperlink"/>
            <w:spacing w:val="-6"/>
          </w:rPr>
          <w:t>Concluziile reuniunii task-force pentru gestionarea situației generate de agresiunea militară rusă din Ucraina</w:t>
        </w:r>
        <w:r w:rsidRPr="00504BC6">
          <w:rPr>
            <w:webHidden/>
            <w:spacing w:val="-6"/>
          </w:rPr>
          <w:tab/>
        </w:r>
        <w:r w:rsidRPr="00504BC6">
          <w:rPr>
            <w:webHidden/>
            <w:spacing w:val="-6"/>
          </w:rPr>
          <w:fldChar w:fldCharType="begin"/>
        </w:r>
        <w:r w:rsidRPr="00504BC6">
          <w:rPr>
            <w:webHidden/>
            <w:spacing w:val="-6"/>
          </w:rPr>
          <w:instrText xml:space="preserve"> PAGEREF _Toc96929053 \h </w:instrText>
        </w:r>
        <w:r w:rsidRPr="00504BC6">
          <w:rPr>
            <w:webHidden/>
            <w:spacing w:val="-6"/>
          </w:rPr>
        </w:r>
        <w:r w:rsidRPr="00504BC6">
          <w:rPr>
            <w:webHidden/>
            <w:spacing w:val="-6"/>
          </w:rPr>
          <w:fldChar w:fldCharType="separate"/>
        </w:r>
        <w:r w:rsidR="00F33B61">
          <w:rPr>
            <w:webHidden/>
            <w:spacing w:val="-6"/>
          </w:rPr>
          <w:t>8</w:t>
        </w:r>
        <w:r w:rsidRPr="00504BC6">
          <w:rPr>
            <w:webHidden/>
            <w:spacing w:val="-6"/>
          </w:rPr>
          <w:fldChar w:fldCharType="end"/>
        </w:r>
      </w:hyperlink>
    </w:p>
    <w:p w14:paraId="77362BE2"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54" w:history="1">
        <w:r w:rsidRPr="00504BC6">
          <w:rPr>
            <w:rStyle w:val="Hyperlink"/>
            <w:spacing w:val="-6"/>
          </w:rPr>
          <w:t>Întâlnirea premierului Nicolae-Ionel Ciucă cu reprezentanții Fundației memoriale a victimelor comunismului</w:t>
        </w:r>
        <w:r w:rsidRPr="00504BC6">
          <w:rPr>
            <w:webHidden/>
            <w:spacing w:val="-6"/>
          </w:rPr>
          <w:tab/>
        </w:r>
        <w:r w:rsidRPr="00504BC6">
          <w:rPr>
            <w:webHidden/>
            <w:spacing w:val="-6"/>
          </w:rPr>
          <w:fldChar w:fldCharType="begin"/>
        </w:r>
        <w:r w:rsidRPr="00504BC6">
          <w:rPr>
            <w:webHidden/>
            <w:spacing w:val="-6"/>
          </w:rPr>
          <w:instrText xml:space="preserve"> PAGEREF _Toc96929054 \h </w:instrText>
        </w:r>
        <w:r w:rsidRPr="00504BC6">
          <w:rPr>
            <w:webHidden/>
            <w:spacing w:val="-6"/>
          </w:rPr>
        </w:r>
        <w:r w:rsidRPr="00504BC6">
          <w:rPr>
            <w:webHidden/>
            <w:spacing w:val="-6"/>
          </w:rPr>
          <w:fldChar w:fldCharType="separate"/>
        </w:r>
        <w:r w:rsidR="00F33B61">
          <w:rPr>
            <w:webHidden/>
            <w:spacing w:val="-6"/>
          </w:rPr>
          <w:t>8</w:t>
        </w:r>
        <w:r w:rsidRPr="00504BC6">
          <w:rPr>
            <w:webHidden/>
            <w:spacing w:val="-6"/>
          </w:rPr>
          <w:fldChar w:fldCharType="end"/>
        </w:r>
      </w:hyperlink>
    </w:p>
    <w:p w14:paraId="743E7FC6" w14:textId="77777777"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55" w:history="1">
        <w:r w:rsidRPr="006D1EF1">
          <w:rPr>
            <w:rStyle w:val="Hyperlink"/>
          </w:rPr>
          <w:t>Informaţie Europeană</w:t>
        </w:r>
        <w:r>
          <w:rPr>
            <w:webHidden/>
          </w:rPr>
          <w:tab/>
        </w:r>
        <w:r>
          <w:rPr>
            <w:webHidden/>
          </w:rPr>
          <w:fldChar w:fldCharType="begin"/>
        </w:r>
        <w:r>
          <w:rPr>
            <w:webHidden/>
          </w:rPr>
          <w:instrText xml:space="preserve"> PAGEREF _Toc96929055 \h </w:instrText>
        </w:r>
        <w:r>
          <w:rPr>
            <w:webHidden/>
          </w:rPr>
        </w:r>
        <w:r>
          <w:rPr>
            <w:webHidden/>
          </w:rPr>
          <w:fldChar w:fldCharType="separate"/>
        </w:r>
        <w:r w:rsidR="00F33B61">
          <w:rPr>
            <w:webHidden/>
          </w:rPr>
          <w:t>9</w:t>
        </w:r>
        <w:r>
          <w:rPr>
            <w:webHidden/>
          </w:rPr>
          <w:fldChar w:fldCharType="end"/>
        </w:r>
      </w:hyperlink>
    </w:p>
    <w:p w14:paraId="1CB8C6BE" w14:textId="77777777"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56" w:history="1">
        <w:r w:rsidRPr="006D1EF1">
          <w:rPr>
            <w:rStyle w:val="Hyperlink"/>
          </w:rPr>
          <w:t>NOUTĂȚI – Informații UTILE</w:t>
        </w:r>
        <w:r>
          <w:rPr>
            <w:webHidden/>
          </w:rPr>
          <w:tab/>
        </w:r>
        <w:r>
          <w:rPr>
            <w:webHidden/>
          </w:rPr>
          <w:fldChar w:fldCharType="begin"/>
        </w:r>
        <w:r>
          <w:rPr>
            <w:webHidden/>
          </w:rPr>
          <w:instrText xml:space="preserve"> PAGEREF _Toc96929056 \h </w:instrText>
        </w:r>
        <w:r>
          <w:rPr>
            <w:webHidden/>
          </w:rPr>
        </w:r>
        <w:r>
          <w:rPr>
            <w:webHidden/>
          </w:rPr>
          <w:fldChar w:fldCharType="separate"/>
        </w:r>
        <w:r w:rsidR="00F33B61">
          <w:rPr>
            <w:webHidden/>
          </w:rPr>
          <w:t>10</w:t>
        </w:r>
        <w:r>
          <w:rPr>
            <w:webHidden/>
          </w:rPr>
          <w:fldChar w:fldCharType="end"/>
        </w:r>
      </w:hyperlink>
    </w:p>
    <w:p w14:paraId="77AD2B94"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57" w:history="1">
        <w:r w:rsidRPr="00504BC6">
          <w:rPr>
            <w:rStyle w:val="Hyperlink"/>
            <w:spacing w:val="-6"/>
          </w:rPr>
          <w:t>Banca Europeană de Investiții va sprijini MIPE în atragerea fondurilor europene alocate României pentru perioada 2021-2027</w:t>
        </w:r>
        <w:r w:rsidRPr="00504BC6">
          <w:rPr>
            <w:webHidden/>
            <w:spacing w:val="-6"/>
          </w:rPr>
          <w:tab/>
        </w:r>
        <w:r w:rsidRPr="00504BC6">
          <w:rPr>
            <w:webHidden/>
            <w:spacing w:val="-6"/>
          </w:rPr>
          <w:fldChar w:fldCharType="begin"/>
        </w:r>
        <w:r w:rsidRPr="00504BC6">
          <w:rPr>
            <w:webHidden/>
            <w:spacing w:val="-6"/>
          </w:rPr>
          <w:instrText xml:space="preserve"> PAGEREF _Toc96929057 \h </w:instrText>
        </w:r>
        <w:r w:rsidRPr="00504BC6">
          <w:rPr>
            <w:webHidden/>
            <w:spacing w:val="-6"/>
          </w:rPr>
        </w:r>
        <w:r w:rsidRPr="00504BC6">
          <w:rPr>
            <w:webHidden/>
            <w:spacing w:val="-6"/>
          </w:rPr>
          <w:fldChar w:fldCharType="separate"/>
        </w:r>
        <w:r w:rsidR="00F33B61">
          <w:rPr>
            <w:webHidden/>
            <w:spacing w:val="-6"/>
          </w:rPr>
          <w:t>10</w:t>
        </w:r>
        <w:r w:rsidRPr="00504BC6">
          <w:rPr>
            <w:webHidden/>
            <w:spacing w:val="-6"/>
          </w:rPr>
          <w:fldChar w:fldCharType="end"/>
        </w:r>
      </w:hyperlink>
    </w:p>
    <w:p w14:paraId="496DD4AF"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58" w:history="1">
        <w:r w:rsidRPr="00504BC6">
          <w:rPr>
            <w:rStyle w:val="Hyperlink"/>
            <w:spacing w:val="-6"/>
          </w:rPr>
          <w:t>Parte din bugetul pentru construirea de creșe noi, alocat din PNRR</w:t>
        </w:r>
        <w:r w:rsidRPr="00504BC6">
          <w:rPr>
            <w:webHidden/>
            <w:spacing w:val="-6"/>
          </w:rPr>
          <w:tab/>
        </w:r>
        <w:r w:rsidRPr="00504BC6">
          <w:rPr>
            <w:webHidden/>
            <w:spacing w:val="-6"/>
          </w:rPr>
          <w:fldChar w:fldCharType="begin"/>
        </w:r>
        <w:r w:rsidRPr="00504BC6">
          <w:rPr>
            <w:webHidden/>
            <w:spacing w:val="-6"/>
          </w:rPr>
          <w:instrText xml:space="preserve"> PAGEREF _Toc96929058 \h </w:instrText>
        </w:r>
        <w:r w:rsidRPr="00504BC6">
          <w:rPr>
            <w:webHidden/>
            <w:spacing w:val="-6"/>
          </w:rPr>
        </w:r>
        <w:r w:rsidRPr="00504BC6">
          <w:rPr>
            <w:webHidden/>
            <w:spacing w:val="-6"/>
          </w:rPr>
          <w:fldChar w:fldCharType="separate"/>
        </w:r>
        <w:r w:rsidR="00F33B61">
          <w:rPr>
            <w:webHidden/>
            <w:spacing w:val="-6"/>
          </w:rPr>
          <w:t>10</w:t>
        </w:r>
        <w:r w:rsidRPr="00504BC6">
          <w:rPr>
            <w:webHidden/>
            <w:spacing w:val="-6"/>
          </w:rPr>
          <w:fldChar w:fldCharType="end"/>
        </w:r>
      </w:hyperlink>
    </w:p>
    <w:p w14:paraId="15852A99"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59" w:history="1">
        <w:r w:rsidRPr="00504BC6">
          <w:rPr>
            <w:rStyle w:val="Hyperlink"/>
            <w:spacing w:val="-6"/>
          </w:rPr>
          <w:t>A fost publicată varianta actualizată a Ghidului Beneficiarului privind implementarea tehnică și financiară a proiectelor finanțate din POAT 2014 – 2020</w:t>
        </w:r>
        <w:r w:rsidRPr="00504BC6">
          <w:rPr>
            <w:webHidden/>
            <w:spacing w:val="-6"/>
          </w:rPr>
          <w:tab/>
        </w:r>
        <w:r w:rsidRPr="00504BC6">
          <w:rPr>
            <w:webHidden/>
            <w:spacing w:val="-6"/>
          </w:rPr>
          <w:fldChar w:fldCharType="begin"/>
        </w:r>
        <w:r w:rsidRPr="00504BC6">
          <w:rPr>
            <w:webHidden/>
            <w:spacing w:val="-6"/>
          </w:rPr>
          <w:instrText xml:space="preserve"> PAGEREF _Toc96929059 \h </w:instrText>
        </w:r>
        <w:r w:rsidRPr="00504BC6">
          <w:rPr>
            <w:webHidden/>
            <w:spacing w:val="-6"/>
          </w:rPr>
        </w:r>
        <w:r w:rsidRPr="00504BC6">
          <w:rPr>
            <w:webHidden/>
            <w:spacing w:val="-6"/>
          </w:rPr>
          <w:fldChar w:fldCharType="separate"/>
        </w:r>
        <w:r w:rsidR="00F33B61">
          <w:rPr>
            <w:webHidden/>
            <w:spacing w:val="-6"/>
          </w:rPr>
          <w:t>10</w:t>
        </w:r>
        <w:r w:rsidRPr="00504BC6">
          <w:rPr>
            <w:webHidden/>
            <w:spacing w:val="-6"/>
          </w:rPr>
          <w:fldChar w:fldCharType="end"/>
        </w:r>
      </w:hyperlink>
    </w:p>
    <w:p w14:paraId="30BFEE13"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60" w:history="1">
        <w:r w:rsidRPr="00504BC6">
          <w:rPr>
            <w:rStyle w:val="Hyperlink"/>
            <w:spacing w:val="-6"/>
          </w:rPr>
          <w:t>A fost aprobat Programul Interreg IPA România-Serbia 2021-2027</w:t>
        </w:r>
        <w:r w:rsidRPr="00504BC6">
          <w:rPr>
            <w:webHidden/>
            <w:spacing w:val="-6"/>
          </w:rPr>
          <w:tab/>
        </w:r>
        <w:r w:rsidRPr="00504BC6">
          <w:rPr>
            <w:webHidden/>
            <w:spacing w:val="-6"/>
          </w:rPr>
          <w:fldChar w:fldCharType="begin"/>
        </w:r>
        <w:r w:rsidRPr="00504BC6">
          <w:rPr>
            <w:webHidden/>
            <w:spacing w:val="-6"/>
          </w:rPr>
          <w:instrText xml:space="preserve"> PAGEREF _Toc96929060 \h </w:instrText>
        </w:r>
        <w:r w:rsidRPr="00504BC6">
          <w:rPr>
            <w:webHidden/>
            <w:spacing w:val="-6"/>
          </w:rPr>
        </w:r>
        <w:r w:rsidRPr="00504BC6">
          <w:rPr>
            <w:webHidden/>
            <w:spacing w:val="-6"/>
          </w:rPr>
          <w:fldChar w:fldCharType="separate"/>
        </w:r>
        <w:r w:rsidR="00F33B61">
          <w:rPr>
            <w:webHidden/>
            <w:spacing w:val="-6"/>
          </w:rPr>
          <w:t>11</w:t>
        </w:r>
        <w:r w:rsidRPr="00504BC6">
          <w:rPr>
            <w:webHidden/>
            <w:spacing w:val="-6"/>
          </w:rPr>
          <w:fldChar w:fldCharType="end"/>
        </w:r>
      </w:hyperlink>
    </w:p>
    <w:p w14:paraId="4E1D151C"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61" w:history="1">
        <w:r w:rsidRPr="00504BC6">
          <w:rPr>
            <w:rStyle w:val="Hyperlink"/>
            <w:spacing w:val="-6"/>
          </w:rPr>
          <w:t>Hotărârea privind înființarea Comitetului de monitorizare a PNRR al României, adoptată de Executiv</w:t>
        </w:r>
        <w:r w:rsidRPr="00504BC6">
          <w:rPr>
            <w:webHidden/>
            <w:spacing w:val="-6"/>
          </w:rPr>
          <w:tab/>
        </w:r>
        <w:r w:rsidRPr="00504BC6">
          <w:rPr>
            <w:webHidden/>
            <w:spacing w:val="-6"/>
          </w:rPr>
          <w:fldChar w:fldCharType="begin"/>
        </w:r>
        <w:r w:rsidRPr="00504BC6">
          <w:rPr>
            <w:webHidden/>
            <w:spacing w:val="-6"/>
          </w:rPr>
          <w:instrText xml:space="preserve"> PAGEREF _Toc96929061 \h </w:instrText>
        </w:r>
        <w:r w:rsidRPr="00504BC6">
          <w:rPr>
            <w:webHidden/>
            <w:spacing w:val="-6"/>
          </w:rPr>
        </w:r>
        <w:r w:rsidRPr="00504BC6">
          <w:rPr>
            <w:webHidden/>
            <w:spacing w:val="-6"/>
          </w:rPr>
          <w:fldChar w:fldCharType="separate"/>
        </w:r>
        <w:r w:rsidR="00F33B61">
          <w:rPr>
            <w:webHidden/>
            <w:spacing w:val="-6"/>
          </w:rPr>
          <w:t>11</w:t>
        </w:r>
        <w:r w:rsidRPr="00504BC6">
          <w:rPr>
            <w:webHidden/>
            <w:spacing w:val="-6"/>
          </w:rPr>
          <w:fldChar w:fldCharType="end"/>
        </w:r>
      </w:hyperlink>
    </w:p>
    <w:p w14:paraId="4CBFB494"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62" w:history="1">
        <w:r w:rsidRPr="00504BC6">
          <w:rPr>
            <w:rStyle w:val="Hyperlink"/>
            <w:spacing w:val="-6"/>
          </w:rPr>
          <w:t>Planul de Investiții pentru Europa sprijină un nou fond pentru finanțarea eficienței energetice a clădirilor din întreaga UE</w:t>
        </w:r>
        <w:r w:rsidRPr="00504BC6">
          <w:rPr>
            <w:webHidden/>
            <w:spacing w:val="-6"/>
          </w:rPr>
          <w:tab/>
        </w:r>
        <w:r w:rsidRPr="00504BC6">
          <w:rPr>
            <w:webHidden/>
            <w:spacing w:val="-6"/>
          </w:rPr>
          <w:fldChar w:fldCharType="begin"/>
        </w:r>
        <w:r w:rsidRPr="00504BC6">
          <w:rPr>
            <w:webHidden/>
            <w:spacing w:val="-6"/>
          </w:rPr>
          <w:instrText xml:space="preserve"> PAGEREF _Toc96929062 \h </w:instrText>
        </w:r>
        <w:r w:rsidRPr="00504BC6">
          <w:rPr>
            <w:webHidden/>
            <w:spacing w:val="-6"/>
          </w:rPr>
        </w:r>
        <w:r w:rsidRPr="00504BC6">
          <w:rPr>
            <w:webHidden/>
            <w:spacing w:val="-6"/>
          </w:rPr>
          <w:fldChar w:fldCharType="separate"/>
        </w:r>
        <w:r w:rsidR="00F33B61">
          <w:rPr>
            <w:webHidden/>
            <w:spacing w:val="-6"/>
          </w:rPr>
          <w:t>12</w:t>
        </w:r>
        <w:r w:rsidRPr="00504BC6">
          <w:rPr>
            <w:webHidden/>
            <w:spacing w:val="-6"/>
          </w:rPr>
          <w:fldChar w:fldCharType="end"/>
        </w:r>
      </w:hyperlink>
    </w:p>
    <w:p w14:paraId="717F70B2"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63" w:history="1">
        <w:r w:rsidRPr="00504BC6">
          <w:rPr>
            <w:rStyle w:val="Hyperlink"/>
            <w:spacing w:val="-6"/>
          </w:rPr>
          <w:t>POAT: A fost publicată metodologia de calcul pentru cheltuielile eligibile în cazul în care personalul realizează și alte atribuții</w:t>
        </w:r>
        <w:r w:rsidRPr="00504BC6">
          <w:rPr>
            <w:webHidden/>
            <w:spacing w:val="-6"/>
          </w:rPr>
          <w:tab/>
        </w:r>
        <w:r w:rsidRPr="00504BC6">
          <w:rPr>
            <w:webHidden/>
            <w:spacing w:val="-6"/>
          </w:rPr>
          <w:fldChar w:fldCharType="begin"/>
        </w:r>
        <w:r w:rsidRPr="00504BC6">
          <w:rPr>
            <w:webHidden/>
            <w:spacing w:val="-6"/>
          </w:rPr>
          <w:instrText xml:space="preserve"> PAGEREF _Toc96929063 \h </w:instrText>
        </w:r>
        <w:r w:rsidRPr="00504BC6">
          <w:rPr>
            <w:webHidden/>
            <w:spacing w:val="-6"/>
          </w:rPr>
        </w:r>
        <w:r w:rsidRPr="00504BC6">
          <w:rPr>
            <w:webHidden/>
            <w:spacing w:val="-6"/>
          </w:rPr>
          <w:fldChar w:fldCharType="separate"/>
        </w:r>
        <w:r w:rsidR="00F33B61">
          <w:rPr>
            <w:webHidden/>
            <w:spacing w:val="-6"/>
          </w:rPr>
          <w:t>12</w:t>
        </w:r>
        <w:r w:rsidRPr="00504BC6">
          <w:rPr>
            <w:webHidden/>
            <w:spacing w:val="-6"/>
          </w:rPr>
          <w:fldChar w:fldCharType="end"/>
        </w:r>
      </w:hyperlink>
    </w:p>
    <w:p w14:paraId="41136230"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64" w:history="1">
        <w:r w:rsidRPr="00504BC6">
          <w:rPr>
            <w:rStyle w:val="Hyperlink"/>
            <w:spacing w:val="-6"/>
          </w:rPr>
          <w:t>Întâlnirile Europene din Transilvania iau în 2022 forma unui hackathon pe teme de sustenabilitate urbană, dezvoltare durabilă și regenerare!</w:t>
        </w:r>
        <w:r w:rsidRPr="00504BC6">
          <w:rPr>
            <w:webHidden/>
            <w:spacing w:val="-6"/>
          </w:rPr>
          <w:tab/>
        </w:r>
        <w:r w:rsidRPr="00504BC6">
          <w:rPr>
            <w:webHidden/>
            <w:spacing w:val="-6"/>
          </w:rPr>
          <w:fldChar w:fldCharType="begin"/>
        </w:r>
        <w:r w:rsidRPr="00504BC6">
          <w:rPr>
            <w:webHidden/>
            <w:spacing w:val="-6"/>
          </w:rPr>
          <w:instrText xml:space="preserve"> PAGEREF _Toc96929064 \h </w:instrText>
        </w:r>
        <w:r w:rsidRPr="00504BC6">
          <w:rPr>
            <w:webHidden/>
            <w:spacing w:val="-6"/>
          </w:rPr>
        </w:r>
        <w:r w:rsidRPr="00504BC6">
          <w:rPr>
            <w:webHidden/>
            <w:spacing w:val="-6"/>
          </w:rPr>
          <w:fldChar w:fldCharType="separate"/>
        </w:r>
        <w:r w:rsidR="00F33B61">
          <w:rPr>
            <w:webHidden/>
            <w:spacing w:val="-6"/>
          </w:rPr>
          <w:t>13</w:t>
        </w:r>
        <w:r w:rsidRPr="00504BC6">
          <w:rPr>
            <w:webHidden/>
            <w:spacing w:val="-6"/>
          </w:rPr>
          <w:fldChar w:fldCharType="end"/>
        </w:r>
      </w:hyperlink>
    </w:p>
    <w:p w14:paraId="1FAA994A"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65" w:history="1">
        <w:r w:rsidRPr="00504BC6">
          <w:rPr>
            <w:rStyle w:val="Hyperlink"/>
            <w:spacing w:val="-6"/>
          </w:rPr>
          <w:t>Proiectele eligibile și mature care nu au primit finanțare prin POIM vor fi preluate de către MDLPA pentru finanțare</w:t>
        </w:r>
        <w:r w:rsidRPr="00504BC6">
          <w:rPr>
            <w:webHidden/>
            <w:spacing w:val="-6"/>
          </w:rPr>
          <w:tab/>
        </w:r>
        <w:r w:rsidRPr="00504BC6">
          <w:rPr>
            <w:webHidden/>
            <w:spacing w:val="-6"/>
          </w:rPr>
          <w:fldChar w:fldCharType="begin"/>
        </w:r>
        <w:r w:rsidRPr="00504BC6">
          <w:rPr>
            <w:webHidden/>
            <w:spacing w:val="-6"/>
          </w:rPr>
          <w:instrText xml:space="preserve"> PAGEREF _Toc96929065 \h </w:instrText>
        </w:r>
        <w:r w:rsidRPr="00504BC6">
          <w:rPr>
            <w:webHidden/>
            <w:spacing w:val="-6"/>
          </w:rPr>
        </w:r>
        <w:r w:rsidRPr="00504BC6">
          <w:rPr>
            <w:webHidden/>
            <w:spacing w:val="-6"/>
          </w:rPr>
          <w:fldChar w:fldCharType="separate"/>
        </w:r>
        <w:r w:rsidR="00F33B61">
          <w:rPr>
            <w:webHidden/>
            <w:spacing w:val="-6"/>
          </w:rPr>
          <w:t>14</w:t>
        </w:r>
        <w:r w:rsidRPr="00504BC6">
          <w:rPr>
            <w:webHidden/>
            <w:spacing w:val="-6"/>
          </w:rPr>
          <w:fldChar w:fldCharType="end"/>
        </w:r>
      </w:hyperlink>
    </w:p>
    <w:p w14:paraId="6EC77B28"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66" w:history="1">
        <w:r w:rsidRPr="00504BC6">
          <w:rPr>
            <w:rStyle w:val="Hyperlink"/>
            <w:spacing w:val="-6"/>
          </w:rPr>
          <w:t>Orice localitate de rangul 0, I, II sau III este invitată să își depună candidatura în vederea obținerii titlului de „Capitala Tineretului din România”! Premiul se ridică la 50.000 euro</w:t>
        </w:r>
        <w:r w:rsidRPr="00504BC6">
          <w:rPr>
            <w:webHidden/>
            <w:spacing w:val="-6"/>
          </w:rPr>
          <w:tab/>
        </w:r>
        <w:r w:rsidRPr="00504BC6">
          <w:rPr>
            <w:webHidden/>
            <w:spacing w:val="-6"/>
          </w:rPr>
          <w:fldChar w:fldCharType="begin"/>
        </w:r>
        <w:r w:rsidRPr="00504BC6">
          <w:rPr>
            <w:webHidden/>
            <w:spacing w:val="-6"/>
          </w:rPr>
          <w:instrText xml:space="preserve"> PAGEREF _Toc96929066 \h </w:instrText>
        </w:r>
        <w:r w:rsidRPr="00504BC6">
          <w:rPr>
            <w:webHidden/>
            <w:spacing w:val="-6"/>
          </w:rPr>
        </w:r>
        <w:r w:rsidRPr="00504BC6">
          <w:rPr>
            <w:webHidden/>
            <w:spacing w:val="-6"/>
          </w:rPr>
          <w:fldChar w:fldCharType="separate"/>
        </w:r>
        <w:r w:rsidR="00F33B61">
          <w:rPr>
            <w:webHidden/>
            <w:spacing w:val="-6"/>
          </w:rPr>
          <w:t>14</w:t>
        </w:r>
        <w:r w:rsidRPr="00504BC6">
          <w:rPr>
            <w:webHidden/>
            <w:spacing w:val="-6"/>
          </w:rPr>
          <w:fldChar w:fldCharType="end"/>
        </w:r>
      </w:hyperlink>
    </w:p>
    <w:p w14:paraId="75CC8E1C" w14:textId="77777777" w:rsidR="00504BC6" w:rsidRPr="00504BC6" w:rsidRDefault="00504BC6">
      <w:pPr>
        <w:pStyle w:val="TOC4"/>
        <w:rPr>
          <w:rFonts w:asciiTheme="minorHAnsi" w:eastAsiaTheme="minorEastAsia" w:hAnsiTheme="minorHAnsi" w:cstheme="minorBidi"/>
          <w:spacing w:val="-6"/>
          <w:sz w:val="22"/>
          <w:szCs w:val="22"/>
          <w:lang w:eastAsia="ro-RO"/>
        </w:rPr>
      </w:pPr>
      <w:hyperlink w:anchor="_Toc96929067" w:history="1">
        <w:r w:rsidRPr="00504BC6">
          <w:rPr>
            <w:rStyle w:val="Hyperlink"/>
            <w:spacing w:val="-6"/>
          </w:rPr>
          <w:t>2022 – Anul European al Tineretului</w:t>
        </w:r>
        <w:r w:rsidRPr="00504BC6">
          <w:rPr>
            <w:webHidden/>
            <w:spacing w:val="-6"/>
          </w:rPr>
          <w:tab/>
        </w:r>
        <w:r w:rsidRPr="00504BC6">
          <w:rPr>
            <w:webHidden/>
            <w:spacing w:val="-6"/>
          </w:rPr>
          <w:fldChar w:fldCharType="begin"/>
        </w:r>
        <w:r w:rsidRPr="00504BC6">
          <w:rPr>
            <w:webHidden/>
            <w:spacing w:val="-6"/>
          </w:rPr>
          <w:instrText xml:space="preserve"> PAGEREF _Toc96929067 \h </w:instrText>
        </w:r>
        <w:r w:rsidRPr="00504BC6">
          <w:rPr>
            <w:webHidden/>
            <w:spacing w:val="-6"/>
          </w:rPr>
        </w:r>
        <w:r w:rsidRPr="00504BC6">
          <w:rPr>
            <w:webHidden/>
            <w:spacing w:val="-6"/>
          </w:rPr>
          <w:fldChar w:fldCharType="separate"/>
        </w:r>
        <w:r w:rsidR="00F33B61">
          <w:rPr>
            <w:webHidden/>
            <w:spacing w:val="-6"/>
          </w:rPr>
          <w:t>15</w:t>
        </w:r>
        <w:r w:rsidRPr="00504BC6">
          <w:rPr>
            <w:webHidden/>
            <w:spacing w:val="-6"/>
          </w:rPr>
          <w:fldChar w:fldCharType="end"/>
        </w:r>
      </w:hyperlink>
    </w:p>
    <w:p w14:paraId="4374CD9F" w14:textId="77777777"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68" w:history="1">
        <w:r w:rsidRPr="006D1EF1">
          <w:rPr>
            <w:rStyle w:val="Hyperlink"/>
          </w:rPr>
          <w:t>Consultări publice</w:t>
        </w:r>
        <w:r>
          <w:rPr>
            <w:webHidden/>
          </w:rPr>
          <w:tab/>
        </w:r>
        <w:r>
          <w:rPr>
            <w:webHidden/>
          </w:rPr>
          <w:fldChar w:fldCharType="begin"/>
        </w:r>
        <w:r>
          <w:rPr>
            <w:webHidden/>
          </w:rPr>
          <w:instrText xml:space="preserve"> PAGEREF _Toc96929068 \h </w:instrText>
        </w:r>
        <w:r>
          <w:rPr>
            <w:webHidden/>
          </w:rPr>
        </w:r>
        <w:r>
          <w:rPr>
            <w:webHidden/>
          </w:rPr>
          <w:fldChar w:fldCharType="separate"/>
        </w:r>
        <w:r w:rsidR="00F33B61">
          <w:rPr>
            <w:webHidden/>
          </w:rPr>
          <w:t>17</w:t>
        </w:r>
        <w:r>
          <w:rPr>
            <w:webHidden/>
          </w:rPr>
          <w:fldChar w:fldCharType="end"/>
        </w:r>
      </w:hyperlink>
    </w:p>
    <w:p w14:paraId="73011391" w14:textId="77777777" w:rsidR="00504BC6" w:rsidRDefault="00504BC6">
      <w:pPr>
        <w:pStyle w:val="TOC4"/>
        <w:rPr>
          <w:rFonts w:asciiTheme="minorHAnsi" w:eastAsiaTheme="minorEastAsia" w:hAnsiTheme="minorHAnsi" w:cstheme="minorBidi"/>
          <w:sz w:val="22"/>
          <w:szCs w:val="22"/>
          <w:lang w:eastAsia="ro-RO"/>
        </w:rPr>
      </w:pPr>
      <w:hyperlink w:anchor="_Toc96929069" w:history="1">
        <w:r w:rsidRPr="006D1EF1">
          <w:rPr>
            <w:rStyle w:val="Hyperlink"/>
          </w:rPr>
          <w:t>Procedura pentru o nouă ediție a Start-Up Nation, în consultare publică!</w:t>
        </w:r>
        <w:r>
          <w:rPr>
            <w:webHidden/>
          </w:rPr>
          <w:tab/>
        </w:r>
        <w:r>
          <w:rPr>
            <w:webHidden/>
          </w:rPr>
          <w:fldChar w:fldCharType="begin"/>
        </w:r>
        <w:r>
          <w:rPr>
            <w:webHidden/>
          </w:rPr>
          <w:instrText xml:space="preserve"> PAGEREF _Toc96929069 \h </w:instrText>
        </w:r>
        <w:r>
          <w:rPr>
            <w:webHidden/>
          </w:rPr>
        </w:r>
        <w:r>
          <w:rPr>
            <w:webHidden/>
          </w:rPr>
          <w:fldChar w:fldCharType="separate"/>
        </w:r>
        <w:r w:rsidR="00F33B61">
          <w:rPr>
            <w:webHidden/>
          </w:rPr>
          <w:t>17</w:t>
        </w:r>
        <w:r>
          <w:rPr>
            <w:webHidden/>
          </w:rPr>
          <w:fldChar w:fldCharType="end"/>
        </w:r>
      </w:hyperlink>
    </w:p>
    <w:p w14:paraId="0B589478" w14:textId="77777777" w:rsidR="00504BC6" w:rsidRDefault="00504BC6">
      <w:pPr>
        <w:pStyle w:val="TOC4"/>
        <w:rPr>
          <w:rFonts w:asciiTheme="minorHAnsi" w:eastAsiaTheme="minorEastAsia" w:hAnsiTheme="minorHAnsi" w:cstheme="minorBidi"/>
          <w:sz w:val="22"/>
          <w:szCs w:val="22"/>
          <w:lang w:eastAsia="ro-RO"/>
        </w:rPr>
      </w:pPr>
      <w:hyperlink w:anchor="_Toc96929070" w:history="1">
        <w:r w:rsidRPr="006D1EF1">
          <w:rPr>
            <w:rStyle w:val="Hyperlink"/>
          </w:rPr>
          <w:t>Ministrul Digitalizării: În curând va fi publicat în consultare publică ghidul solicitantului pentru programul de educație digitală și competențe digitale în IMM-uri</w:t>
        </w:r>
        <w:r>
          <w:rPr>
            <w:webHidden/>
          </w:rPr>
          <w:tab/>
        </w:r>
        <w:r>
          <w:rPr>
            <w:webHidden/>
          </w:rPr>
          <w:fldChar w:fldCharType="begin"/>
        </w:r>
        <w:r>
          <w:rPr>
            <w:webHidden/>
          </w:rPr>
          <w:instrText xml:space="preserve"> PAGEREF _Toc96929070 \h </w:instrText>
        </w:r>
        <w:r>
          <w:rPr>
            <w:webHidden/>
          </w:rPr>
        </w:r>
        <w:r>
          <w:rPr>
            <w:webHidden/>
          </w:rPr>
          <w:fldChar w:fldCharType="separate"/>
        </w:r>
        <w:r w:rsidR="00F33B61">
          <w:rPr>
            <w:webHidden/>
          </w:rPr>
          <w:t>18</w:t>
        </w:r>
        <w:r>
          <w:rPr>
            <w:webHidden/>
          </w:rPr>
          <w:fldChar w:fldCharType="end"/>
        </w:r>
      </w:hyperlink>
    </w:p>
    <w:p w14:paraId="60447D8F" w14:textId="77777777"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71" w:history="1">
        <w:r w:rsidRPr="006D1EF1">
          <w:rPr>
            <w:rStyle w:val="Hyperlink"/>
          </w:rPr>
          <w:t>APELURI – Finanțări</w:t>
        </w:r>
        <w:r>
          <w:rPr>
            <w:webHidden/>
          </w:rPr>
          <w:tab/>
        </w:r>
        <w:r>
          <w:rPr>
            <w:webHidden/>
          </w:rPr>
          <w:fldChar w:fldCharType="begin"/>
        </w:r>
        <w:r>
          <w:rPr>
            <w:webHidden/>
          </w:rPr>
          <w:instrText xml:space="preserve"> PAGEREF _Toc96929071 \h </w:instrText>
        </w:r>
        <w:r>
          <w:rPr>
            <w:webHidden/>
          </w:rPr>
        </w:r>
        <w:r>
          <w:rPr>
            <w:webHidden/>
          </w:rPr>
          <w:fldChar w:fldCharType="separate"/>
        </w:r>
        <w:r w:rsidR="00F33B61">
          <w:rPr>
            <w:webHidden/>
          </w:rPr>
          <w:t>18</w:t>
        </w:r>
        <w:r>
          <w:rPr>
            <w:webHidden/>
          </w:rPr>
          <w:fldChar w:fldCharType="end"/>
        </w:r>
      </w:hyperlink>
    </w:p>
    <w:p w14:paraId="3E91B91B" w14:textId="77777777" w:rsidR="00504BC6" w:rsidRDefault="00504BC6">
      <w:pPr>
        <w:pStyle w:val="TOC4"/>
        <w:rPr>
          <w:rFonts w:asciiTheme="minorHAnsi" w:eastAsiaTheme="minorEastAsia" w:hAnsiTheme="minorHAnsi" w:cstheme="minorBidi"/>
          <w:sz w:val="22"/>
          <w:szCs w:val="22"/>
          <w:lang w:eastAsia="ro-RO"/>
        </w:rPr>
      </w:pPr>
      <w:hyperlink w:anchor="_Toc96929072" w:history="1">
        <w:r w:rsidRPr="006D1EF1">
          <w:rPr>
            <w:rStyle w:val="Hyperlink"/>
          </w:rPr>
          <w:t>Prelungire a termenului de depunere a cererilor de finanțare pentru submăsurile 16.4 și 16.4a, dedicate sectoarelor agricole și pomicole</w:t>
        </w:r>
        <w:r>
          <w:rPr>
            <w:webHidden/>
          </w:rPr>
          <w:tab/>
        </w:r>
        <w:r>
          <w:rPr>
            <w:webHidden/>
          </w:rPr>
          <w:fldChar w:fldCharType="begin"/>
        </w:r>
        <w:r>
          <w:rPr>
            <w:webHidden/>
          </w:rPr>
          <w:instrText xml:space="preserve"> PAGEREF _Toc96929072 \h </w:instrText>
        </w:r>
        <w:r>
          <w:rPr>
            <w:webHidden/>
          </w:rPr>
        </w:r>
        <w:r>
          <w:rPr>
            <w:webHidden/>
          </w:rPr>
          <w:fldChar w:fldCharType="separate"/>
        </w:r>
        <w:r w:rsidR="00F33B61">
          <w:rPr>
            <w:webHidden/>
          </w:rPr>
          <w:t>18</w:t>
        </w:r>
        <w:r>
          <w:rPr>
            <w:webHidden/>
          </w:rPr>
          <w:fldChar w:fldCharType="end"/>
        </w:r>
      </w:hyperlink>
    </w:p>
    <w:p w14:paraId="777718B2" w14:textId="77777777" w:rsidR="00504BC6" w:rsidRDefault="00504BC6">
      <w:pPr>
        <w:pStyle w:val="TOC4"/>
        <w:rPr>
          <w:rFonts w:asciiTheme="minorHAnsi" w:eastAsiaTheme="minorEastAsia" w:hAnsiTheme="minorHAnsi" w:cstheme="minorBidi"/>
          <w:sz w:val="22"/>
          <w:szCs w:val="22"/>
          <w:lang w:eastAsia="ro-RO"/>
        </w:rPr>
      </w:pPr>
      <w:hyperlink w:anchor="_Toc96929073" w:history="1">
        <w:r w:rsidRPr="006D1EF1">
          <w:rPr>
            <w:rStyle w:val="Hyperlink"/>
          </w:rPr>
          <w:t>Termenul de depunere a cererilor de înscriere în Programul Tomata a fost prelungit</w:t>
        </w:r>
        <w:r>
          <w:rPr>
            <w:webHidden/>
          </w:rPr>
          <w:tab/>
        </w:r>
        <w:r>
          <w:rPr>
            <w:webHidden/>
          </w:rPr>
          <w:fldChar w:fldCharType="begin"/>
        </w:r>
        <w:r>
          <w:rPr>
            <w:webHidden/>
          </w:rPr>
          <w:instrText xml:space="preserve"> PAGEREF _Toc96929073 \h </w:instrText>
        </w:r>
        <w:r>
          <w:rPr>
            <w:webHidden/>
          </w:rPr>
        </w:r>
        <w:r>
          <w:rPr>
            <w:webHidden/>
          </w:rPr>
          <w:fldChar w:fldCharType="separate"/>
        </w:r>
        <w:r w:rsidR="00F33B61">
          <w:rPr>
            <w:webHidden/>
          </w:rPr>
          <w:t>18</w:t>
        </w:r>
        <w:r>
          <w:rPr>
            <w:webHidden/>
          </w:rPr>
          <w:fldChar w:fldCharType="end"/>
        </w:r>
      </w:hyperlink>
    </w:p>
    <w:p w14:paraId="2EFB6757" w14:textId="77777777" w:rsidR="00504BC6" w:rsidRDefault="00504BC6">
      <w:pPr>
        <w:pStyle w:val="TOC4"/>
        <w:rPr>
          <w:rFonts w:asciiTheme="minorHAnsi" w:eastAsiaTheme="minorEastAsia" w:hAnsiTheme="minorHAnsi" w:cstheme="minorBidi"/>
          <w:sz w:val="22"/>
          <w:szCs w:val="22"/>
          <w:lang w:eastAsia="ro-RO"/>
        </w:rPr>
      </w:pPr>
      <w:hyperlink w:anchor="_Toc96929074" w:history="1">
        <w:r w:rsidRPr="006D1EF1">
          <w:rPr>
            <w:rStyle w:val="Hyperlink"/>
          </w:rPr>
          <w:t>Aplicații deschise pentru Festivalul Noului Bauhaus European</w:t>
        </w:r>
        <w:r>
          <w:rPr>
            <w:webHidden/>
          </w:rPr>
          <w:tab/>
        </w:r>
        <w:r>
          <w:rPr>
            <w:webHidden/>
          </w:rPr>
          <w:fldChar w:fldCharType="begin"/>
        </w:r>
        <w:r>
          <w:rPr>
            <w:webHidden/>
          </w:rPr>
          <w:instrText xml:space="preserve"> PAGEREF _Toc96929074 \h </w:instrText>
        </w:r>
        <w:r>
          <w:rPr>
            <w:webHidden/>
          </w:rPr>
        </w:r>
        <w:r>
          <w:rPr>
            <w:webHidden/>
          </w:rPr>
          <w:fldChar w:fldCharType="separate"/>
        </w:r>
        <w:r w:rsidR="00F33B61">
          <w:rPr>
            <w:webHidden/>
          </w:rPr>
          <w:t>19</w:t>
        </w:r>
        <w:r>
          <w:rPr>
            <w:webHidden/>
          </w:rPr>
          <w:fldChar w:fldCharType="end"/>
        </w:r>
      </w:hyperlink>
    </w:p>
    <w:p w14:paraId="0C6F92B1" w14:textId="77777777" w:rsidR="00504BC6" w:rsidRDefault="00504BC6">
      <w:pPr>
        <w:pStyle w:val="TOC4"/>
        <w:rPr>
          <w:rStyle w:val="Hyperlink"/>
        </w:rPr>
      </w:pPr>
    </w:p>
    <w:p w14:paraId="7DB8460D" w14:textId="28602D9E" w:rsidR="00504BC6" w:rsidRDefault="00504BC6">
      <w:pPr>
        <w:pStyle w:val="TOC4"/>
        <w:rPr>
          <w:rFonts w:asciiTheme="minorHAnsi" w:eastAsiaTheme="minorEastAsia" w:hAnsiTheme="minorHAnsi" w:cstheme="minorBidi"/>
          <w:sz w:val="22"/>
          <w:szCs w:val="22"/>
          <w:lang w:eastAsia="ro-RO"/>
        </w:rPr>
      </w:pPr>
      <w:r>
        <w:rPr>
          <w:lang w:eastAsia="ro-RO"/>
        </w:rPr>
        <w:lastRenderedPageBreak/>
        <mc:AlternateContent>
          <mc:Choice Requires="wps">
            <w:drawing>
              <wp:anchor distT="0" distB="0" distL="114300" distR="114300" simplePos="0" relativeHeight="252027904" behindDoc="1" locked="0" layoutInCell="1" allowOverlap="1" wp14:anchorId="765FBFF5" wp14:editId="1AFA64BE">
                <wp:simplePos x="0" y="0"/>
                <wp:positionH relativeFrom="column">
                  <wp:posOffset>113960</wp:posOffset>
                </wp:positionH>
                <wp:positionV relativeFrom="page">
                  <wp:posOffset>1297172</wp:posOffset>
                </wp:positionV>
                <wp:extent cx="6039293" cy="4603898"/>
                <wp:effectExtent l="38100" t="38100" r="38100" b="4445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293" cy="4603898"/>
                        </a:xfrm>
                        <a:prstGeom prst="rect">
                          <a:avLst/>
                        </a:prstGeom>
                        <a:solidFill>
                          <a:srgbClr val="CDDDEB">
                            <a:alpha val="80000"/>
                          </a:srgbClr>
                        </a:solidFill>
                        <a:ln w="79375" cmpd="thickThin">
                          <a:solidFill>
                            <a:srgbClr val="808080"/>
                          </a:solidFill>
                          <a:miter lim="800000"/>
                          <a:headEnd/>
                          <a:tailEnd/>
                        </a:ln>
                      </wps:spPr>
                      <wps:txbx>
                        <w:txbxContent>
                          <w:p w14:paraId="02E1BABC" w14:textId="77777777" w:rsidR="00AF6222" w:rsidRDefault="00AF6222" w:rsidP="00504B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FBFF5" id="_x0000_s1028" style="position:absolute;left:0;text-align:left;margin-left:8.95pt;margin-top:102.15pt;width:475.55pt;height:362.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" fillcolor="#cdddeb" strokecolor="gray" strokeweight="6.25pt">
                <v:fill opacity="52428f"/>
                <v:stroke linestyle="thickThin"/>
                <v:textbox>
                  <w:txbxContent>
                    <w:p w14:paraId="02E1BABC" w14:textId="77777777" w:rsidR="00AF6222" w:rsidRDefault="00AF6222" w:rsidP="00504BC6">
                      <w:pPr>
                        <w:jc w:val="center"/>
                      </w:pPr>
                    </w:p>
                  </w:txbxContent>
                </v:textbox>
                <w10:wrap anchory="page"/>
              </v:rect>
            </w:pict>
          </mc:Fallback>
        </mc:AlternateContent>
      </w:r>
      <w:hyperlink w:anchor="_Toc96929075" w:history="1">
        <w:r w:rsidRPr="006D1EF1">
          <w:rPr>
            <w:rStyle w:val="Hyperlink"/>
          </w:rPr>
          <w:t>Ultimul apel din cadrul programului Energetic în România finanțat din fonduri norvegiene a fost lansat!</w:t>
        </w:r>
        <w:r>
          <w:rPr>
            <w:webHidden/>
          </w:rPr>
          <w:tab/>
        </w:r>
        <w:r>
          <w:rPr>
            <w:webHidden/>
          </w:rPr>
          <w:fldChar w:fldCharType="begin"/>
        </w:r>
        <w:r>
          <w:rPr>
            <w:webHidden/>
          </w:rPr>
          <w:instrText xml:space="preserve"> PAGEREF _Toc96929075 \h </w:instrText>
        </w:r>
        <w:r>
          <w:rPr>
            <w:webHidden/>
          </w:rPr>
        </w:r>
        <w:r>
          <w:rPr>
            <w:webHidden/>
          </w:rPr>
          <w:fldChar w:fldCharType="separate"/>
        </w:r>
        <w:r w:rsidR="00F33B61">
          <w:rPr>
            <w:webHidden/>
          </w:rPr>
          <w:t>19</w:t>
        </w:r>
        <w:r>
          <w:rPr>
            <w:webHidden/>
          </w:rPr>
          <w:fldChar w:fldCharType="end"/>
        </w:r>
      </w:hyperlink>
    </w:p>
    <w:p w14:paraId="21644B93" w14:textId="28DFAF98" w:rsidR="00504BC6" w:rsidRDefault="00504BC6">
      <w:pPr>
        <w:pStyle w:val="TOC4"/>
        <w:rPr>
          <w:rFonts w:asciiTheme="minorHAnsi" w:eastAsiaTheme="minorEastAsia" w:hAnsiTheme="minorHAnsi" w:cstheme="minorBidi"/>
          <w:sz w:val="22"/>
          <w:szCs w:val="22"/>
          <w:lang w:eastAsia="ro-RO"/>
        </w:rPr>
      </w:pPr>
      <w:hyperlink w:anchor="_Toc96929076" w:history="1">
        <w:r w:rsidRPr="006D1EF1">
          <w:rPr>
            <w:rStyle w:val="Hyperlink"/>
          </w:rPr>
          <w:t>Începând cu 1 martie 2022 se lansează o nouă ediție Start ONG!</w:t>
        </w:r>
        <w:r>
          <w:rPr>
            <w:webHidden/>
          </w:rPr>
          <w:tab/>
        </w:r>
        <w:r>
          <w:rPr>
            <w:webHidden/>
          </w:rPr>
          <w:fldChar w:fldCharType="begin"/>
        </w:r>
        <w:r>
          <w:rPr>
            <w:webHidden/>
          </w:rPr>
          <w:instrText xml:space="preserve"> PAGEREF _Toc96929076 \h </w:instrText>
        </w:r>
        <w:r>
          <w:rPr>
            <w:webHidden/>
          </w:rPr>
        </w:r>
        <w:r>
          <w:rPr>
            <w:webHidden/>
          </w:rPr>
          <w:fldChar w:fldCharType="separate"/>
        </w:r>
        <w:r w:rsidR="00F33B61">
          <w:rPr>
            <w:webHidden/>
          </w:rPr>
          <w:t>20</w:t>
        </w:r>
        <w:r>
          <w:rPr>
            <w:webHidden/>
          </w:rPr>
          <w:fldChar w:fldCharType="end"/>
        </w:r>
      </w:hyperlink>
    </w:p>
    <w:p w14:paraId="1FB3FAC8" w14:textId="5A7F8FAB" w:rsidR="00504BC6" w:rsidRDefault="00504BC6">
      <w:pPr>
        <w:pStyle w:val="TOC4"/>
        <w:rPr>
          <w:rFonts w:asciiTheme="minorHAnsi" w:eastAsiaTheme="minorEastAsia" w:hAnsiTheme="minorHAnsi" w:cstheme="minorBidi"/>
          <w:sz w:val="22"/>
          <w:szCs w:val="22"/>
          <w:lang w:eastAsia="ro-RO"/>
        </w:rPr>
      </w:pPr>
      <w:hyperlink w:anchor="_Toc96929077" w:history="1">
        <w:r w:rsidRPr="006D1EF1">
          <w:rPr>
            <w:rStyle w:val="Hyperlink"/>
          </w:rPr>
          <w:t>MusicAIRE: Redresarea sectorului muzical în Europa ca urmare a efectelor produse de COVID-19</w:t>
        </w:r>
        <w:r>
          <w:rPr>
            <w:webHidden/>
          </w:rPr>
          <w:tab/>
        </w:r>
        <w:r>
          <w:rPr>
            <w:webHidden/>
          </w:rPr>
          <w:fldChar w:fldCharType="begin"/>
        </w:r>
        <w:r>
          <w:rPr>
            <w:webHidden/>
          </w:rPr>
          <w:instrText xml:space="preserve"> PAGEREF _Toc96929077 \h </w:instrText>
        </w:r>
        <w:r>
          <w:rPr>
            <w:webHidden/>
          </w:rPr>
        </w:r>
        <w:r>
          <w:rPr>
            <w:webHidden/>
          </w:rPr>
          <w:fldChar w:fldCharType="separate"/>
        </w:r>
        <w:r w:rsidR="00F33B61">
          <w:rPr>
            <w:webHidden/>
          </w:rPr>
          <w:t>20</w:t>
        </w:r>
        <w:r>
          <w:rPr>
            <w:webHidden/>
          </w:rPr>
          <w:fldChar w:fldCharType="end"/>
        </w:r>
      </w:hyperlink>
    </w:p>
    <w:p w14:paraId="56A87CDB" w14:textId="620A191B"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78" w:history="1">
        <w:r w:rsidRPr="006D1EF1">
          <w:rPr>
            <w:rStyle w:val="Hyperlink"/>
          </w:rPr>
          <w:t>Din actualitatea europeană</w:t>
        </w:r>
        <w:r>
          <w:rPr>
            <w:webHidden/>
          </w:rPr>
          <w:tab/>
        </w:r>
        <w:r>
          <w:rPr>
            <w:webHidden/>
          </w:rPr>
          <w:fldChar w:fldCharType="begin"/>
        </w:r>
        <w:r>
          <w:rPr>
            <w:webHidden/>
          </w:rPr>
          <w:instrText xml:space="preserve"> PAGEREF _Toc96929078 \h </w:instrText>
        </w:r>
        <w:r>
          <w:rPr>
            <w:webHidden/>
          </w:rPr>
        </w:r>
        <w:r>
          <w:rPr>
            <w:webHidden/>
          </w:rPr>
          <w:fldChar w:fldCharType="separate"/>
        </w:r>
        <w:r w:rsidR="00F33B61">
          <w:rPr>
            <w:webHidden/>
          </w:rPr>
          <w:t>21</w:t>
        </w:r>
        <w:r>
          <w:rPr>
            <w:webHidden/>
          </w:rPr>
          <w:fldChar w:fldCharType="end"/>
        </w:r>
      </w:hyperlink>
    </w:p>
    <w:p w14:paraId="18CAD23A" w14:textId="77777777" w:rsidR="00504BC6" w:rsidRDefault="00504BC6">
      <w:pPr>
        <w:pStyle w:val="TOC4"/>
        <w:rPr>
          <w:rFonts w:asciiTheme="minorHAnsi" w:eastAsiaTheme="minorEastAsia" w:hAnsiTheme="minorHAnsi" w:cstheme="minorBidi"/>
          <w:sz w:val="22"/>
          <w:szCs w:val="22"/>
          <w:lang w:eastAsia="ro-RO"/>
        </w:rPr>
      </w:pPr>
      <w:hyperlink w:anchor="_Toc96929079" w:history="1">
        <w:r w:rsidRPr="006D1EF1">
          <w:rPr>
            <w:rStyle w:val="Hyperlink"/>
          </w:rPr>
          <w:t>REACT-EU: 642 milioane EUR pentru a sprijini redresarea economică și tranziția digitală și verde în Belgia, Cehia, Polonia și România</w:t>
        </w:r>
        <w:r>
          <w:rPr>
            <w:webHidden/>
          </w:rPr>
          <w:tab/>
        </w:r>
        <w:r>
          <w:rPr>
            <w:webHidden/>
          </w:rPr>
          <w:fldChar w:fldCharType="begin"/>
        </w:r>
        <w:r>
          <w:rPr>
            <w:webHidden/>
          </w:rPr>
          <w:instrText xml:space="preserve"> PAGEREF _Toc96929079 \h </w:instrText>
        </w:r>
        <w:r>
          <w:rPr>
            <w:webHidden/>
          </w:rPr>
        </w:r>
        <w:r>
          <w:rPr>
            <w:webHidden/>
          </w:rPr>
          <w:fldChar w:fldCharType="separate"/>
        </w:r>
        <w:r w:rsidR="00F33B61">
          <w:rPr>
            <w:webHidden/>
          </w:rPr>
          <w:t>21</w:t>
        </w:r>
        <w:r>
          <w:rPr>
            <w:webHidden/>
          </w:rPr>
          <w:fldChar w:fldCharType="end"/>
        </w:r>
      </w:hyperlink>
    </w:p>
    <w:p w14:paraId="37EFA76E" w14:textId="77777777" w:rsidR="00504BC6" w:rsidRDefault="00504BC6">
      <w:pPr>
        <w:pStyle w:val="TOC4"/>
        <w:rPr>
          <w:rFonts w:asciiTheme="minorHAnsi" w:eastAsiaTheme="minorEastAsia" w:hAnsiTheme="minorHAnsi" w:cstheme="minorBidi"/>
          <w:sz w:val="22"/>
          <w:szCs w:val="22"/>
          <w:lang w:eastAsia="ro-RO"/>
        </w:rPr>
      </w:pPr>
      <w:hyperlink w:anchor="_Toc96929080" w:history="1">
        <w:r w:rsidRPr="006D1EF1">
          <w:rPr>
            <w:rStyle w:val="Hyperlink"/>
          </w:rPr>
          <w:t>UE coordonează furnizarea de asistență de urgență Ucrainei și este pregătită să ajute țările învecinate</w:t>
        </w:r>
        <w:r>
          <w:rPr>
            <w:webHidden/>
          </w:rPr>
          <w:tab/>
        </w:r>
        <w:r>
          <w:rPr>
            <w:webHidden/>
          </w:rPr>
          <w:fldChar w:fldCharType="begin"/>
        </w:r>
        <w:r>
          <w:rPr>
            <w:webHidden/>
          </w:rPr>
          <w:instrText xml:space="preserve"> PAGEREF _Toc96929080 \h </w:instrText>
        </w:r>
        <w:r>
          <w:rPr>
            <w:webHidden/>
          </w:rPr>
        </w:r>
        <w:r>
          <w:rPr>
            <w:webHidden/>
          </w:rPr>
          <w:fldChar w:fldCharType="separate"/>
        </w:r>
        <w:r w:rsidR="00F33B61">
          <w:rPr>
            <w:webHidden/>
          </w:rPr>
          <w:t>21</w:t>
        </w:r>
        <w:r>
          <w:rPr>
            <w:webHidden/>
          </w:rPr>
          <w:fldChar w:fldCharType="end"/>
        </w:r>
      </w:hyperlink>
    </w:p>
    <w:p w14:paraId="7FF6EED0" w14:textId="77777777" w:rsidR="00504BC6" w:rsidRDefault="00504BC6">
      <w:pPr>
        <w:pStyle w:val="TOC4"/>
        <w:rPr>
          <w:rFonts w:asciiTheme="minorHAnsi" w:eastAsiaTheme="minorEastAsia" w:hAnsiTheme="minorHAnsi" w:cstheme="minorBidi"/>
          <w:sz w:val="22"/>
          <w:szCs w:val="22"/>
          <w:lang w:eastAsia="ro-RO"/>
        </w:rPr>
      </w:pPr>
      <w:hyperlink w:anchor="_Toc96929081" w:history="1">
        <w:r w:rsidRPr="006D1EF1">
          <w:rPr>
            <w:rStyle w:val="Hyperlink"/>
          </w:rPr>
          <w:t>Cuvânt de deschidere al președintei: reuniunea extraordinară a EUCO</w:t>
        </w:r>
        <w:r>
          <w:rPr>
            <w:webHidden/>
          </w:rPr>
          <w:tab/>
        </w:r>
        <w:r>
          <w:rPr>
            <w:webHidden/>
          </w:rPr>
          <w:fldChar w:fldCharType="begin"/>
        </w:r>
        <w:r>
          <w:rPr>
            <w:webHidden/>
          </w:rPr>
          <w:instrText xml:space="preserve"> PAGEREF _Toc96929081 \h </w:instrText>
        </w:r>
        <w:r>
          <w:rPr>
            <w:webHidden/>
          </w:rPr>
        </w:r>
        <w:r>
          <w:rPr>
            <w:webHidden/>
          </w:rPr>
          <w:fldChar w:fldCharType="separate"/>
        </w:r>
        <w:r w:rsidR="00F33B61">
          <w:rPr>
            <w:webHidden/>
          </w:rPr>
          <w:t>22</w:t>
        </w:r>
        <w:r>
          <w:rPr>
            <w:webHidden/>
          </w:rPr>
          <w:fldChar w:fldCharType="end"/>
        </w:r>
      </w:hyperlink>
    </w:p>
    <w:p w14:paraId="3F34A92F" w14:textId="77777777" w:rsidR="00504BC6" w:rsidRDefault="00504BC6">
      <w:pPr>
        <w:pStyle w:val="TOC4"/>
        <w:rPr>
          <w:rFonts w:asciiTheme="minorHAnsi" w:eastAsiaTheme="minorEastAsia" w:hAnsiTheme="minorHAnsi" w:cstheme="minorBidi"/>
          <w:sz w:val="22"/>
          <w:szCs w:val="22"/>
          <w:lang w:eastAsia="ro-RO"/>
        </w:rPr>
      </w:pPr>
      <w:hyperlink w:anchor="_Toc96929082" w:history="1">
        <w:r w:rsidRPr="006D1EF1">
          <w:rPr>
            <w:rStyle w:val="Hyperlink"/>
          </w:rPr>
          <w:t>15 milioane EUR în cadrul programului Erasmus+ pentru a sprijini formarea prin academiile Erasmus+ pentru cadrele didactice</w:t>
        </w:r>
        <w:r>
          <w:rPr>
            <w:webHidden/>
          </w:rPr>
          <w:tab/>
        </w:r>
        <w:r>
          <w:rPr>
            <w:webHidden/>
          </w:rPr>
          <w:fldChar w:fldCharType="begin"/>
        </w:r>
        <w:r>
          <w:rPr>
            <w:webHidden/>
          </w:rPr>
          <w:instrText xml:space="preserve"> PAGEREF _Toc96929082 \h </w:instrText>
        </w:r>
        <w:r>
          <w:rPr>
            <w:webHidden/>
          </w:rPr>
        </w:r>
        <w:r>
          <w:rPr>
            <w:webHidden/>
          </w:rPr>
          <w:fldChar w:fldCharType="separate"/>
        </w:r>
        <w:r w:rsidR="00F33B61">
          <w:rPr>
            <w:webHidden/>
          </w:rPr>
          <w:t>23</w:t>
        </w:r>
        <w:r>
          <w:rPr>
            <w:webHidden/>
          </w:rPr>
          <w:fldChar w:fldCharType="end"/>
        </w:r>
      </w:hyperlink>
    </w:p>
    <w:p w14:paraId="624B4138" w14:textId="77777777" w:rsidR="00504BC6" w:rsidRDefault="00504BC6">
      <w:pPr>
        <w:pStyle w:val="TOC4"/>
        <w:rPr>
          <w:rFonts w:asciiTheme="minorHAnsi" w:eastAsiaTheme="minorEastAsia" w:hAnsiTheme="minorHAnsi" w:cstheme="minorBidi"/>
          <w:sz w:val="22"/>
          <w:szCs w:val="22"/>
          <w:lang w:eastAsia="ro-RO"/>
        </w:rPr>
      </w:pPr>
      <w:hyperlink w:anchor="_Toc96929083" w:history="1">
        <w:r w:rsidRPr="006D1EF1">
          <w:rPr>
            <w:rStyle w:val="Hyperlink"/>
          </w:rPr>
          <w:t>Viitorul Europei: recomandările cetățenilor privind economia mai puternică, justiție socială &amp; locuri de muncă, educație, cultură, tineret, sport &amp; transformare digitală</w:t>
        </w:r>
        <w:r>
          <w:rPr>
            <w:webHidden/>
          </w:rPr>
          <w:tab/>
        </w:r>
        <w:r>
          <w:rPr>
            <w:webHidden/>
          </w:rPr>
          <w:fldChar w:fldCharType="begin"/>
        </w:r>
        <w:r>
          <w:rPr>
            <w:webHidden/>
          </w:rPr>
          <w:instrText xml:space="preserve"> PAGEREF _Toc96929083 \h </w:instrText>
        </w:r>
        <w:r>
          <w:rPr>
            <w:webHidden/>
          </w:rPr>
        </w:r>
        <w:r>
          <w:rPr>
            <w:webHidden/>
          </w:rPr>
          <w:fldChar w:fldCharType="separate"/>
        </w:r>
        <w:r w:rsidR="00F33B61">
          <w:rPr>
            <w:webHidden/>
          </w:rPr>
          <w:t>24</w:t>
        </w:r>
        <w:r>
          <w:rPr>
            <w:webHidden/>
          </w:rPr>
          <w:fldChar w:fldCharType="end"/>
        </w:r>
      </w:hyperlink>
    </w:p>
    <w:p w14:paraId="7C11F6AE" w14:textId="77777777" w:rsidR="00504BC6" w:rsidRDefault="00504BC6">
      <w:pPr>
        <w:pStyle w:val="TOC4"/>
        <w:rPr>
          <w:rFonts w:asciiTheme="minorHAnsi" w:eastAsiaTheme="minorEastAsia" w:hAnsiTheme="minorHAnsi" w:cstheme="minorBidi"/>
          <w:sz w:val="22"/>
          <w:szCs w:val="22"/>
          <w:lang w:eastAsia="ro-RO"/>
        </w:rPr>
      </w:pPr>
      <w:hyperlink w:anchor="_Toc96929084" w:history="1">
        <w:r w:rsidRPr="006D1EF1">
          <w:rPr>
            <w:rStyle w:val="Hyperlink"/>
          </w:rPr>
          <w:t>Legea privind datele: Comisia propune măsuri pentru o economie a datelor echitabilă și inovatoare</w:t>
        </w:r>
        <w:r>
          <w:rPr>
            <w:webHidden/>
          </w:rPr>
          <w:tab/>
        </w:r>
        <w:r>
          <w:rPr>
            <w:webHidden/>
          </w:rPr>
          <w:fldChar w:fldCharType="begin"/>
        </w:r>
        <w:r>
          <w:rPr>
            <w:webHidden/>
          </w:rPr>
          <w:instrText xml:space="preserve"> PAGEREF _Toc96929084 \h </w:instrText>
        </w:r>
        <w:r>
          <w:rPr>
            <w:webHidden/>
          </w:rPr>
        </w:r>
        <w:r>
          <w:rPr>
            <w:webHidden/>
          </w:rPr>
          <w:fldChar w:fldCharType="separate"/>
        </w:r>
        <w:r w:rsidR="00F33B61">
          <w:rPr>
            <w:webHidden/>
          </w:rPr>
          <w:t>24</w:t>
        </w:r>
        <w:r>
          <w:rPr>
            <w:webHidden/>
          </w:rPr>
          <w:fldChar w:fldCharType="end"/>
        </w:r>
      </w:hyperlink>
    </w:p>
    <w:p w14:paraId="58315C48" w14:textId="77777777" w:rsidR="00504BC6" w:rsidRDefault="00504BC6">
      <w:pPr>
        <w:pStyle w:val="TOC4"/>
        <w:rPr>
          <w:rFonts w:asciiTheme="minorHAnsi" w:eastAsiaTheme="minorEastAsia" w:hAnsiTheme="minorHAnsi" w:cstheme="minorBidi"/>
          <w:sz w:val="22"/>
          <w:szCs w:val="22"/>
          <w:lang w:eastAsia="ro-RO"/>
        </w:rPr>
      </w:pPr>
      <w:hyperlink w:anchor="_Toc96929085" w:history="1">
        <w:r w:rsidRPr="006D1EF1">
          <w:rPr>
            <w:rStyle w:val="Hyperlink"/>
          </w:rPr>
          <w:t>Comisia prezintă un bilanț aprofundat actualizat al dependențelor strategice ale Europei</w:t>
        </w:r>
        <w:r>
          <w:rPr>
            <w:webHidden/>
          </w:rPr>
          <w:tab/>
        </w:r>
        <w:r>
          <w:rPr>
            <w:webHidden/>
          </w:rPr>
          <w:fldChar w:fldCharType="begin"/>
        </w:r>
        <w:r>
          <w:rPr>
            <w:webHidden/>
          </w:rPr>
          <w:instrText xml:space="preserve"> PAGEREF _Toc96929085 \h </w:instrText>
        </w:r>
        <w:r>
          <w:rPr>
            <w:webHidden/>
          </w:rPr>
        </w:r>
        <w:r>
          <w:rPr>
            <w:webHidden/>
          </w:rPr>
          <w:fldChar w:fldCharType="separate"/>
        </w:r>
        <w:r w:rsidR="00F33B61">
          <w:rPr>
            <w:webHidden/>
          </w:rPr>
          <w:t>26</w:t>
        </w:r>
        <w:r>
          <w:rPr>
            <w:webHidden/>
          </w:rPr>
          <w:fldChar w:fldCharType="end"/>
        </w:r>
      </w:hyperlink>
    </w:p>
    <w:p w14:paraId="78AE25B9" w14:textId="77777777" w:rsidR="00504BC6" w:rsidRDefault="00504BC6">
      <w:pPr>
        <w:pStyle w:val="TOC4"/>
        <w:rPr>
          <w:rFonts w:asciiTheme="minorHAnsi" w:eastAsiaTheme="minorEastAsia" w:hAnsiTheme="minorHAnsi" w:cstheme="minorBidi"/>
          <w:sz w:val="22"/>
          <w:szCs w:val="22"/>
          <w:lang w:eastAsia="ro-RO"/>
        </w:rPr>
      </w:pPr>
      <w:hyperlink w:anchor="_Toc96929086" w:history="1">
        <w:r w:rsidRPr="006D1EF1">
          <w:rPr>
            <w:rStyle w:val="Hyperlink"/>
          </w:rPr>
          <w:t>Comisia stabilește o strategie de promovare a muncii decente la nivel mondial și pregătește un instrument pentru interzicerea produselor obținute prin muncă forțată</w:t>
        </w:r>
        <w:r>
          <w:rPr>
            <w:webHidden/>
          </w:rPr>
          <w:tab/>
        </w:r>
        <w:r>
          <w:rPr>
            <w:webHidden/>
          </w:rPr>
          <w:fldChar w:fldCharType="begin"/>
        </w:r>
        <w:r>
          <w:rPr>
            <w:webHidden/>
          </w:rPr>
          <w:instrText xml:space="preserve"> PAGEREF _Toc96929086 \h </w:instrText>
        </w:r>
        <w:r>
          <w:rPr>
            <w:webHidden/>
          </w:rPr>
        </w:r>
        <w:r>
          <w:rPr>
            <w:webHidden/>
          </w:rPr>
          <w:fldChar w:fldCharType="separate"/>
        </w:r>
        <w:r w:rsidR="00F33B61">
          <w:rPr>
            <w:webHidden/>
          </w:rPr>
          <w:t>28</w:t>
        </w:r>
        <w:r>
          <w:rPr>
            <w:webHidden/>
          </w:rPr>
          <w:fldChar w:fldCharType="end"/>
        </w:r>
      </w:hyperlink>
    </w:p>
    <w:p w14:paraId="4BEA15CE" w14:textId="77777777" w:rsidR="00504BC6" w:rsidRDefault="00504BC6">
      <w:pPr>
        <w:pStyle w:val="TOC4"/>
        <w:rPr>
          <w:rFonts w:asciiTheme="minorHAnsi" w:eastAsiaTheme="minorEastAsia" w:hAnsiTheme="minorHAnsi" w:cstheme="minorBidi"/>
          <w:sz w:val="22"/>
          <w:szCs w:val="22"/>
          <w:lang w:eastAsia="ro-RO"/>
        </w:rPr>
      </w:pPr>
      <w:hyperlink w:anchor="_Toc96929087" w:history="1">
        <w:r w:rsidRPr="006D1EF1">
          <w:rPr>
            <w:rStyle w:val="Hyperlink"/>
          </w:rPr>
          <w:t>O economie justă și durabilă: Comisia stabilește norme pentru întreprinderi privind respectarea drepturilor omului și a mediului în lanțurile valorice mondiale</w:t>
        </w:r>
        <w:r>
          <w:rPr>
            <w:webHidden/>
          </w:rPr>
          <w:tab/>
        </w:r>
        <w:r>
          <w:rPr>
            <w:webHidden/>
          </w:rPr>
          <w:fldChar w:fldCharType="begin"/>
        </w:r>
        <w:r>
          <w:rPr>
            <w:webHidden/>
          </w:rPr>
          <w:instrText xml:space="preserve"> PAGEREF _Toc96929087 \h </w:instrText>
        </w:r>
        <w:r>
          <w:rPr>
            <w:webHidden/>
          </w:rPr>
        </w:r>
        <w:r>
          <w:rPr>
            <w:webHidden/>
          </w:rPr>
          <w:fldChar w:fldCharType="separate"/>
        </w:r>
        <w:r w:rsidR="00F33B61">
          <w:rPr>
            <w:webHidden/>
          </w:rPr>
          <w:t>30</w:t>
        </w:r>
        <w:r>
          <w:rPr>
            <w:webHidden/>
          </w:rPr>
          <w:fldChar w:fldCharType="end"/>
        </w:r>
      </w:hyperlink>
    </w:p>
    <w:p w14:paraId="6E535361" w14:textId="77777777" w:rsidR="00504BC6" w:rsidRDefault="00504BC6">
      <w:pPr>
        <w:pStyle w:val="TOC4"/>
        <w:rPr>
          <w:rFonts w:asciiTheme="minorHAnsi" w:eastAsiaTheme="minorEastAsia" w:hAnsiTheme="minorHAnsi" w:cstheme="minorBidi"/>
          <w:sz w:val="22"/>
          <w:szCs w:val="22"/>
          <w:lang w:eastAsia="ro-RO"/>
        </w:rPr>
      </w:pPr>
      <w:hyperlink w:anchor="_Toc96929088" w:history="1">
        <w:r w:rsidRPr="006D1EF1">
          <w:rPr>
            <w:rStyle w:val="Hyperlink"/>
          </w:rPr>
          <w:t>De la fermă la consumator: un aditiv furajer inovator va reduce emisiile de metan generate de vacile de lapte în UE</w:t>
        </w:r>
        <w:r>
          <w:rPr>
            <w:webHidden/>
          </w:rPr>
          <w:tab/>
        </w:r>
        <w:r>
          <w:rPr>
            <w:webHidden/>
          </w:rPr>
          <w:fldChar w:fldCharType="begin"/>
        </w:r>
        <w:r>
          <w:rPr>
            <w:webHidden/>
          </w:rPr>
          <w:instrText xml:space="preserve"> PAGEREF _Toc96929088 \h </w:instrText>
        </w:r>
        <w:r>
          <w:rPr>
            <w:webHidden/>
          </w:rPr>
        </w:r>
        <w:r>
          <w:rPr>
            <w:webHidden/>
          </w:rPr>
          <w:fldChar w:fldCharType="separate"/>
        </w:r>
        <w:r w:rsidR="00F33B61">
          <w:rPr>
            <w:webHidden/>
          </w:rPr>
          <w:t>33</w:t>
        </w:r>
        <w:r>
          <w:rPr>
            <w:webHidden/>
          </w:rPr>
          <w:fldChar w:fldCharType="end"/>
        </w:r>
      </w:hyperlink>
    </w:p>
    <w:p w14:paraId="0DB29E63" w14:textId="77777777" w:rsidR="00504BC6" w:rsidRDefault="00504BC6">
      <w:pPr>
        <w:pStyle w:val="TOC2"/>
        <w:rPr>
          <w:rFonts w:asciiTheme="minorHAnsi" w:eastAsiaTheme="minorEastAsia" w:hAnsiTheme="minorHAnsi" w:cstheme="minorBidi"/>
          <w:b w:val="0"/>
          <w:bCs w:val="0"/>
          <w:smallCaps w:val="0"/>
          <w:sz w:val="22"/>
          <w:szCs w:val="22"/>
          <w:lang w:eastAsia="ro-RO"/>
        </w:rPr>
      </w:pPr>
      <w:hyperlink w:anchor="_Toc96929089" w:history="1">
        <w:r w:rsidRPr="006D1EF1">
          <w:rPr>
            <w:rStyle w:val="Hyperlink"/>
          </w:rPr>
          <w:t>Coronavirus</w:t>
        </w:r>
        <w:r>
          <w:rPr>
            <w:webHidden/>
          </w:rPr>
          <w:tab/>
        </w:r>
        <w:r>
          <w:rPr>
            <w:webHidden/>
          </w:rPr>
          <w:fldChar w:fldCharType="begin"/>
        </w:r>
        <w:r>
          <w:rPr>
            <w:webHidden/>
          </w:rPr>
          <w:instrText xml:space="preserve"> PAGEREF _Toc96929089 \h </w:instrText>
        </w:r>
        <w:r>
          <w:rPr>
            <w:webHidden/>
          </w:rPr>
        </w:r>
        <w:r>
          <w:rPr>
            <w:webHidden/>
          </w:rPr>
          <w:fldChar w:fldCharType="separate"/>
        </w:r>
        <w:r w:rsidR="00F33B61">
          <w:rPr>
            <w:webHidden/>
          </w:rPr>
          <w:t>34</w:t>
        </w:r>
        <w:r>
          <w:rPr>
            <w:webHidden/>
          </w:rPr>
          <w:fldChar w:fldCharType="end"/>
        </w:r>
      </w:hyperlink>
    </w:p>
    <w:p w14:paraId="1872F00B" w14:textId="77777777" w:rsidR="00504BC6" w:rsidRDefault="00504BC6">
      <w:pPr>
        <w:pStyle w:val="TOC4"/>
        <w:rPr>
          <w:rFonts w:asciiTheme="minorHAnsi" w:eastAsiaTheme="minorEastAsia" w:hAnsiTheme="minorHAnsi" w:cstheme="minorBidi"/>
          <w:sz w:val="22"/>
          <w:szCs w:val="22"/>
          <w:lang w:eastAsia="ro-RO"/>
        </w:rPr>
      </w:pPr>
      <w:hyperlink w:anchor="_Toc96929090" w:history="1">
        <w:r w:rsidRPr="006D1EF1">
          <w:rPr>
            <w:rStyle w:val="Hyperlink"/>
          </w:rPr>
          <w:t>Certificatul digital al UE privind COVID: certificatele de vindecare se pot elibera de acum și pe baza testelor antigenice rapide</w:t>
        </w:r>
        <w:r>
          <w:rPr>
            <w:webHidden/>
          </w:rPr>
          <w:tab/>
        </w:r>
        <w:r>
          <w:rPr>
            <w:webHidden/>
          </w:rPr>
          <w:fldChar w:fldCharType="begin"/>
        </w:r>
        <w:r>
          <w:rPr>
            <w:webHidden/>
          </w:rPr>
          <w:instrText xml:space="preserve"> PAGEREF _Toc96929090 \h </w:instrText>
        </w:r>
        <w:r>
          <w:rPr>
            <w:webHidden/>
          </w:rPr>
        </w:r>
        <w:r>
          <w:rPr>
            <w:webHidden/>
          </w:rPr>
          <w:fldChar w:fldCharType="separate"/>
        </w:r>
        <w:r w:rsidR="00F33B61">
          <w:rPr>
            <w:webHidden/>
          </w:rPr>
          <w:t>34</w:t>
        </w:r>
        <w:r>
          <w:rPr>
            <w:webHidden/>
          </w:rPr>
          <w:fldChar w:fldCharType="end"/>
        </w:r>
      </w:hyperlink>
    </w:p>
    <w:p w14:paraId="7F2E31A0" w14:textId="28F37D1A" w:rsidR="00933498" w:rsidRDefault="00D55F50" w:rsidP="00D2537B">
      <w:pPr>
        <w:pStyle w:val="TOC4"/>
        <w:rPr>
          <w:rStyle w:val="Hyperlink"/>
          <w:noProof w:val="0"/>
          <w:sz w:val="19"/>
          <w:szCs w:val="19"/>
        </w:rPr>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2C1483C0" w14:textId="1F39AFEF" w:rsidR="00D92761" w:rsidRDefault="00D92761" w:rsidP="00D92761"/>
    <w:p w14:paraId="00276F5C" w14:textId="1A09BCA3" w:rsidR="00D92761" w:rsidRDefault="00D92761">
      <w:pPr>
        <w:spacing w:before="0"/>
      </w:pPr>
      <w:r>
        <w:br w:type="page"/>
      </w:r>
    </w:p>
    <w:p w14:paraId="4FA8C69A" w14:textId="69C21C25" w:rsidR="006538AC" w:rsidRDefault="003075AF" w:rsidP="00B2000B">
      <w:pPr>
        <w:pStyle w:val="AgendaPrefect"/>
        <w:spacing w:before="0" w:after="0"/>
        <w:ind w:right="198"/>
        <w:rPr>
          <w:rFonts w:ascii="Book Antiqua" w:hAnsi="Book Antiqua"/>
          <w:color w:val="auto"/>
          <w:spacing w:val="-6"/>
          <w:sz w:val="20"/>
        </w:rPr>
      </w:pPr>
      <w:bookmarkStart w:id="10" w:name="_Toc9692904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980F67">
        <w:rPr>
          <w:rFonts w:ascii="Book Antiqua" w:hAnsi="Book Antiqua"/>
          <w:color w:val="auto"/>
          <w:spacing w:val="-6"/>
          <w:sz w:val="20"/>
        </w:rPr>
        <w:t xml:space="preserve">21 – 25 </w:t>
      </w:r>
      <w:r w:rsidR="00C615BC" w:rsidRPr="00C615BC">
        <w:rPr>
          <w:rFonts w:ascii="Book Antiqua" w:hAnsi="Book Antiqua"/>
          <w:color w:val="auto"/>
          <w:spacing w:val="-6"/>
          <w:sz w:val="20"/>
        </w:rPr>
        <w:t xml:space="preserve"> februarie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10"/>
    </w:p>
    <w:p w14:paraId="18D7DFE8" w14:textId="2E179C5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742"/>
        <w:gridCol w:w="1957"/>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C900A3" w:rsidRPr="00F50627" w14:paraId="1A3A2CC1" w14:textId="77777777" w:rsidTr="00BC1C91">
        <w:trPr>
          <w:trHeight w:val="50"/>
        </w:trPr>
        <w:tc>
          <w:tcPr>
            <w:tcW w:w="3991" w:type="pct"/>
            <w:tcBorders>
              <w:top w:val="dotted" w:sz="4" w:space="0" w:color="A6A6A6"/>
              <w:left w:val="nil"/>
              <w:bottom w:val="dotted" w:sz="4" w:space="0" w:color="A6A6A6"/>
              <w:right w:val="double" w:sz="4" w:space="0" w:color="006600"/>
            </w:tcBorders>
            <w:shd w:val="clear" w:color="auto" w:fill="auto"/>
          </w:tcPr>
          <w:p w14:paraId="2770980C" w14:textId="40C216C1" w:rsidR="00C900A3" w:rsidRPr="00C900A3" w:rsidRDefault="00AC14E6" w:rsidP="0087702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2585D49C" w14:textId="70EFD0B0" w:rsidR="00C900A3" w:rsidRPr="00C900A3" w:rsidRDefault="00AC14E6" w:rsidP="00AC14E6">
            <w:pPr>
              <w:ind w:right="198"/>
              <w:rPr>
                <w:rFonts w:ascii="Times New Roman" w:hAnsi="Times New Roman"/>
                <w:b/>
                <w:bCs/>
                <w:i/>
                <w:iCs/>
                <w:sz w:val="22"/>
                <w:szCs w:val="22"/>
              </w:rPr>
            </w:pPr>
            <w:r>
              <w:rPr>
                <w:rFonts w:ascii="Times New Roman" w:hAnsi="Times New Roman"/>
                <w:b/>
                <w:bCs/>
                <w:i/>
                <w:iCs/>
                <w:sz w:val="22"/>
                <w:szCs w:val="22"/>
              </w:rPr>
              <w:t xml:space="preserve">21 februarie </w:t>
            </w:r>
          </w:p>
        </w:tc>
      </w:tr>
      <w:tr w:rsidR="00AC14E6" w:rsidRPr="00F50627" w14:paraId="248E179B" w14:textId="77777777" w:rsidTr="00BC1C91">
        <w:trPr>
          <w:trHeight w:val="108"/>
        </w:trPr>
        <w:tc>
          <w:tcPr>
            <w:tcW w:w="3991" w:type="pct"/>
            <w:tcBorders>
              <w:top w:val="dotted" w:sz="4" w:space="0" w:color="A6A6A6"/>
              <w:left w:val="nil"/>
              <w:bottom w:val="dotted" w:sz="4" w:space="0" w:color="A6A6A6"/>
              <w:right w:val="double" w:sz="4" w:space="0" w:color="006600"/>
            </w:tcBorders>
            <w:shd w:val="clear" w:color="auto" w:fill="auto"/>
          </w:tcPr>
          <w:p w14:paraId="76798C1A" w14:textId="7EBBF1D5" w:rsidR="00AC14E6" w:rsidRPr="00C900A3"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Întâlnire de lucru cu reprezentan</w:t>
            </w:r>
            <w:r w:rsidRPr="00AC14E6">
              <w:rPr>
                <w:rFonts w:ascii="Cambria" w:hAnsi="Cambria" w:cs="Cambria"/>
                <w:i/>
                <w:iCs/>
                <w:color w:val="000000"/>
                <w:sz w:val="22"/>
                <w:szCs w:val="22"/>
              </w:rPr>
              <w:t>ț</w:t>
            </w:r>
            <w:r w:rsidRPr="00AC14E6">
              <w:rPr>
                <w:rFonts w:ascii="Book Antiqua" w:hAnsi="Book Antiqua"/>
                <w:i/>
                <w:iCs/>
                <w:color w:val="000000"/>
                <w:sz w:val="22"/>
                <w:szCs w:val="22"/>
              </w:rPr>
              <w:t>ii IPJ Hunedoara, ISU Hunedoara, IJJ Hunedoara, DSP Hunedoara</w:t>
            </w:r>
          </w:p>
        </w:tc>
        <w:tc>
          <w:tcPr>
            <w:tcW w:w="1009" w:type="pct"/>
            <w:tcBorders>
              <w:top w:val="dotted" w:sz="4" w:space="0" w:color="A6A6A6"/>
              <w:left w:val="double" w:sz="4" w:space="0" w:color="006600"/>
              <w:bottom w:val="dotted" w:sz="4" w:space="0" w:color="A6A6A6"/>
              <w:right w:val="nil"/>
            </w:tcBorders>
            <w:shd w:val="clear" w:color="auto" w:fill="auto"/>
          </w:tcPr>
          <w:p w14:paraId="3000AA32" w14:textId="1BCBB7CC" w:rsidR="00AC14E6" w:rsidRPr="00C900A3" w:rsidRDefault="00AC14E6" w:rsidP="00AC14E6">
            <w:pPr>
              <w:ind w:right="198"/>
              <w:rPr>
                <w:rFonts w:ascii="Times New Roman" w:hAnsi="Times New Roman"/>
                <w:b/>
                <w:bCs/>
                <w:i/>
                <w:iCs/>
                <w:sz w:val="22"/>
                <w:szCs w:val="22"/>
              </w:rPr>
            </w:pPr>
            <w:r>
              <w:rPr>
                <w:rFonts w:ascii="Times New Roman" w:hAnsi="Times New Roman"/>
                <w:b/>
                <w:bCs/>
                <w:i/>
                <w:iCs/>
                <w:sz w:val="22"/>
                <w:szCs w:val="22"/>
              </w:rPr>
              <w:t xml:space="preserve">21 februarie </w:t>
            </w:r>
          </w:p>
        </w:tc>
      </w:tr>
      <w:tr w:rsidR="00AC14E6" w:rsidRPr="00F50627" w14:paraId="12746DE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ABC9802" w14:textId="7F22EF48" w:rsidR="00AC14E6" w:rsidRPr="00C900A3"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 xml:space="preserve">Participare la </w:t>
            </w:r>
            <w:r w:rsidRPr="00AC14E6">
              <w:rPr>
                <w:rFonts w:ascii="Cambria" w:hAnsi="Cambria" w:cs="Cambria"/>
                <w:i/>
                <w:iCs/>
                <w:color w:val="000000"/>
                <w:sz w:val="22"/>
                <w:szCs w:val="22"/>
              </w:rPr>
              <w:t>ș</w:t>
            </w:r>
            <w:r w:rsidRPr="00AC14E6">
              <w:rPr>
                <w:rFonts w:ascii="Book Antiqua" w:hAnsi="Book Antiqua"/>
                <w:i/>
                <w:iCs/>
                <w:color w:val="000000"/>
                <w:sz w:val="22"/>
                <w:szCs w:val="22"/>
              </w:rPr>
              <w:t>edin</w:t>
            </w:r>
            <w:r w:rsidRPr="00AC14E6">
              <w:rPr>
                <w:rFonts w:ascii="Cambria" w:hAnsi="Cambria" w:cs="Cambria"/>
                <w:i/>
                <w:iCs/>
                <w:color w:val="000000"/>
                <w:sz w:val="22"/>
                <w:szCs w:val="22"/>
              </w:rPr>
              <w:t>ț</w:t>
            </w:r>
            <w:r w:rsidRPr="00AC14E6">
              <w:rPr>
                <w:rFonts w:ascii="Book Antiqua" w:hAnsi="Book Antiqua"/>
                <w:i/>
                <w:iCs/>
                <w:color w:val="000000"/>
                <w:sz w:val="22"/>
                <w:szCs w:val="22"/>
              </w:rPr>
              <w:t>a Comisiei jude</w:t>
            </w:r>
            <w:r w:rsidRPr="00AC14E6">
              <w:rPr>
                <w:rFonts w:ascii="Cambria" w:hAnsi="Cambria" w:cs="Cambria"/>
                <w:i/>
                <w:iCs/>
                <w:color w:val="000000"/>
                <w:sz w:val="22"/>
                <w:szCs w:val="22"/>
              </w:rPr>
              <w:t>ț</w:t>
            </w:r>
            <w:r w:rsidRPr="00AC14E6">
              <w:rPr>
                <w:rFonts w:ascii="Book Antiqua" w:hAnsi="Book Antiqua"/>
                <w:i/>
                <w:iCs/>
                <w:color w:val="000000"/>
                <w:sz w:val="22"/>
                <w:szCs w:val="22"/>
              </w:rPr>
              <w:t xml:space="preserve">ene pentru aplicarea Programului pentru </w:t>
            </w:r>
            <w:r w:rsidRPr="00AC14E6">
              <w:rPr>
                <w:rFonts w:ascii="Cambria" w:hAnsi="Cambria" w:cs="Cambria"/>
                <w:i/>
                <w:iCs/>
                <w:color w:val="000000"/>
                <w:sz w:val="22"/>
                <w:szCs w:val="22"/>
              </w:rPr>
              <w:t>ș</w:t>
            </w:r>
            <w:r w:rsidRPr="00AC14E6">
              <w:rPr>
                <w:rFonts w:ascii="Book Antiqua" w:hAnsi="Book Antiqua"/>
                <w:i/>
                <w:iCs/>
                <w:color w:val="000000"/>
                <w:sz w:val="22"/>
                <w:szCs w:val="22"/>
              </w:rPr>
              <w:t xml:space="preserve">coli, </w:t>
            </w:r>
            <w:r w:rsidRPr="00AC14E6">
              <w:rPr>
                <w:rFonts w:ascii="Book Antiqua" w:hAnsi="Book Antiqua" w:cs="Book Antiqua"/>
                <w:i/>
                <w:iCs/>
                <w:color w:val="000000"/>
                <w:sz w:val="22"/>
                <w:szCs w:val="22"/>
              </w:rPr>
              <w:t>„</w:t>
            </w:r>
            <w:r w:rsidRPr="00AC14E6">
              <w:rPr>
                <w:rFonts w:ascii="Book Antiqua" w:hAnsi="Book Antiqua"/>
                <w:i/>
                <w:iCs/>
                <w:color w:val="000000"/>
                <w:sz w:val="22"/>
                <w:szCs w:val="22"/>
              </w:rPr>
              <w:t xml:space="preserve">Cornul </w:t>
            </w:r>
            <w:r w:rsidRPr="00AC14E6">
              <w:rPr>
                <w:rFonts w:ascii="Cambria" w:hAnsi="Cambria" w:cs="Cambria"/>
                <w:i/>
                <w:iCs/>
                <w:color w:val="000000"/>
                <w:sz w:val="22"/>
                <w:szCs w:val="22"/>
              </w:rPr>
              <w:t>ș</w:t>
            </w:r>
            <w:r w:rsidRPr="00AC14E6">
              <w:rPr>
                <w:rFonts w:ascii="Book Antiqua" w:hAnsi="Book Antiqua"/>
                <w:i/>
                <w:iCs/>
                <w:color w:val="000000"/>
                <w:sz w:val="22"/>
                <w:szCs w:val="22"/>
              </w:rPr>
              <w:t>i laptele</w:t>
            </w:r>
            <w:r w:rsidRPr="00AC14E6">
              <w:rPr>
                <w:rFonts w:ascii="Book Antiqua" w:hAnsi="Book Antiqua" w:cs="Book Antiqua"/>
                <w:i/>
                <w:iCs/>
                <w:color w:val="000000"/>
                <w:sz w:val="22"/>
                <w:szCs w:val="22"/>
              </w:rPr>
              <w:t>”</w:t>
            </w:r>
          </w:p>
        </w:tc>
        <w:tc>
          <w:tcPr>
            <w:tcW w:w="1009" w:type="pct"/>
            <w:tcBorders>
              <w:top w:val="dotted" w:sz="4" w:space="0" w:color="A6A6A6"/>
              <w:left w:val="double" w:sz="4" w:space="0" w:color="006600"/>
              <w:bottom w:val="dotted" w:sz="4" w:space="0" w:color="A6A6A6"/>
              <w:right w:val="nil"/>
            </w:tcBorders>
            <w:shd w:val="clear" w:color="auto" w:fill="auto"/>
          </w:tcPr>
          <w:p w14:paraId="20204E9C" w14:textId="71B03806" w:rsidR="00AC14E6" w:rsidRPr="00C900A3" w:rsidRDefault="00AC14E6" w:rsidP="00AC14E6">
            <w:pPr>
              <w:ind w:right="198"/>
              <w:rPr>
                <w:rFonts w:ascii="Times New Roman" w:hAnsi="Times New Roman"/>
                <w:b/>
                <w:bCs/>
                <w:i/>
                <w:iCs/>
                <w:sz w:val="22"/>
                <w:szCs w:val="22"/>
              </w:rPr>
            </w:pPr>
            <w:r>
              <w:rPr>
                <w:rFonts w:ascii="Times New Roman" w:hAnsi="Times New Roman"/>
                <w:b/>
                <w:bCs/>
                <w:i/>
                <w:iCs/>
                <w:sz w:val="22"/>
                <w:szCs w:val="22"/>
              </w:rPr>
              <w:t xml:space="preserve">22 februarie </w:t>
            </w:r>
          </w:p>
        </w:tc>
      </w:tr>
      <w:tr w:rsidR="00AC14E6" w:rsidRPr="00F50627" w14:paraId="6B4FDBB5" w14:textId="77777777" w:rsidTr="00BC1C91">
        <w:trPr>
          <w:trHeight w:val="70"/>
        </w:trPr>
        <w:tc>
          <w:tcPr>
            <w:tcW w:w="3991" w:type="pct"/>
            <w:tcBorders>
              <w:top w:val="dotted" w:sz="4" w:space="0" w:color="A6A6A6"/>
              <w:left w:val="nil"/>
              <w:bottom w:val="dotted" w:sz="4" w:space="0" w:color="A6A6A6"/>
              <w:right w:val="double" w:sz="4" w:space="0" w:color="006600"/>
            </w:tcBorders>
            <w:shd w:val="clear" w:color="auto" w:fill="auto"/>
          </w:tcPr>
          <w:p w14:paraId="10955634" w14:textId="0C8C04C5" w:rsidR="00AC14E6" w:rsidRPr="00AC14E6"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Vizită de lucru la primăriile comunelor Vor</w:t>
            </w:r>
            <w:r w:rsidRPr="00AC14E6">
              <w:rPr>
                <w:rFonts w:ascii="Cambria" w:hAnsi="Cambria" w:cs="Cambria"/>
                <w:i/>
                <w:iCs/>
                <w:color w:val="000000"/>
                <w:sz w:val="22"/>
                <w:szCs w:val="22"/>
              </w:rPr>
              <w:t>ț</w:t>
            </w:r>
            <w:r w:rsidRPr="00AC14E6">
              <w:rPr>
                <w:rFonts w:ascii="Book Antiqua" w:hAnsi="Book Antiqua"/>
                <w:i/>
                <w:iCs/>
                <w:color w:val="000000"/>
                <w:sz w:val="22"/>
                <w:szCs w:val="22"/>
              </w:rPr>
              <w:t xml:space="preserve">a </w:t>
            </w:r>
            <w:r w:rsidRPr="00AC14E6">
              <w:rPr>
                <w:rFonts w:ascii="Cambria" w:hAnsi="Cambria" w:cs="Cambria"/>
                <w:i/>
                <w:iCs/>
                <w:color w:val="000000"/>
                <w:sz w:val="22"/>
                <w:szCs w:val="22"/>
              </w:rPr>
              <w:t>ș</w:t>
            </w:r>
            <w:r w:rsidRPr="00AC14E6">
              <w:rPr>
                <w:rFonts w:ascii="Book Antiqua" w:hAnsi="Book Antiqua"/>
                <w:i/>
                <w:iCs/>
                <w:color w:val="000000"/>
                <w:sz w:val="22"/>
                <w:szCs w:val="22"/>
              </w:rPr>
              <w:t>i Br</w:t>
            </w:r>
            <w:r w:rsidRPr="00AC14E6">
              <w:rPr>
                <w:rFonts w:ascii="Book Antiqua" w:hAnsi="Book Antiqua" w:cs="Book Antiqua"/>
                <w:i/>
                <w:iCs/>
                <w:color w:val="000000"/>
                <w:sz w:val="22"/>
                <w:szCs w:val="22"/>
              </w:rPr>
              <w:t>ă</w:t>
            </w:r>
            <w:r w:rsidRPr="00AC14E6">
              <w:rPr>
                <w:rFonts w:ascii="Book Antiqua" w:hAnsi="Book Antiqua"/>
                <w:i/>
                <w:iCs/>
                <w:color w:val="000000"/>
                <w:sz w:val="22"/>
                <w:szCs w:val="22"/>
              </w:rPr>
              <w:t>ni</w:t>
            </w:r>
            <w:r w:rsidRPr="00AC14E6">
              <w:rPr>
                <w:rFonts w:ascii="Cambria" w:hAnsi="Cambria" w:cs="Cambria"/>
                <w:i/>
                <w:iCs/>
                <w:color w:val="000000"/>
                <w:sz w:val="22"/>
                <w:szCs w:val="22"/>
              </w:rPr>
              <w:t>ș</w:t>
            </w:r>
            <w:r w:rsidRPr="00AC14E6">
              <w:rPr>
                <w:rFonts w:ascii="Book Antiqua" w:hAnsi="Book Antiqua"/>
                <w:i/>
                <w:iCs/>
                <w:color w:val="000000"/>
                <w:sz w:val="22"/>
                <w:szCs w:val="22"/>
              </w:rPr>
              <w:t>ca.</w:t>
            </w:r>
          </w:p>
        </w:tc>
        <w:tc>
          <w:tcPr>
            <w:tcW w:w="1009" w:type="pct"/>
            <w:tcBorders>
              <w:top w:val="dotted" w:sz="4" w:space="0" w:color="A6A6A6"/>
              <w:left w:val="double" w:sz="4" w:space="0" w:color="006600"/>
              <w:bottom w:val="dotted" w:sz="4" w:space="0" w:color="A6A6A6"/>
              <w:right w:val="nil"/>
            </w:tcBorders>
            <w:shd w:val="clear" w:color="auto" w:fill="auto"/>
          </w:tcPr>
          <w:p w14:paraId="4C18B7CC" w14:textId="20796FF5" w:rsidR="00AC14E6" w:rsidRPr="00C900A3" w:rsidRDefault="00AC14E6" w:rsidP="00AC14E6">
            <w:pPr>
              <w:ind w:right="198"/>
              <w:rPr>
                <w:rFonts w:ascii="Times New Roman" w:hAnsi="Times New Roman"/>
                <w:b/>
                <w:bCs/>
                <w:i/>
                <w:iCs/>
                <w:sz w:val="22"/>
                <w:szCs w:val="22"/>
              </w:rPr>
            </w:pPr>
            <w:r>
              <w:rPr>
                <w:rFonts w:ascii="Times New Roman" w:hAnsi="Times New Roman"/>
                <w:b/>
                <w:bCs/>
                <w:i/>
                <w:iCs/>
                <w:sz w:val="22"/>
                <w:szCs w:val="22"/>
              </w:rPr>
              <w:t xml:space="preserve">22 februarie </w:t>
            </w:r>
          </w:p>
        </w:tc>
      </w:tr>
      <w:tr w:rsidR="00AC14E6" w:rsidRPr="00F50627" w14:paraId="2FB5C0D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44635F5" w14:textId="36C955F3" w:rsidR="00AC14E6" w:rsidRPr="00AC14E6"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 xml:space="preserve">Participare la </w:t>
            </w:r>
            <w:r w:rsidRPr="00AC14E6">
              <w:rPr>
                <w:rFonts w:ascii="Cambria" w:hAnsi="Cambria" w:cs="Cambria"/>
                <w:i/>
                <w:iCs/>
                <w:color w:val="000000"/>
                <w:sz w:val="22"/>
                <w:szCs w:val="22"/>
              </w:rPr>
              <w:t>ș</w:t>
            </w:r>
            <w:r w:rsidRPr="00AC14E6">
              <w:rPr>
                <w:rFonts w:ascii="Book Antiqua" w:hAnsi="Book Antiqua"/>
                <w:i/>
                <w:iCs/>
                <w:color w:val="000000"/>
                <w:sz w:val="22"/>
                <w:szCs w:val="22"/>
              </w:rPr>
              <w:t>edin</w:t>
            </w:r>
            <w:r w:rsidRPr="00AC14E6">
              <w:rPr>
                <w:rFonts w:ascii="Cambria" w:hAnsi="Cambria" w:cs="Cambria"/>
                <w:i/>
                <w:iCs/>
                <w:color w:val="000000"/>
                <w:sz w:val="22"/>
                <w:szCs w:val="22"/>
              </w:rPr>
              <w:t>ț</w:t>
            </w:r>
            <w:r w:rsidRPr="00AC14E6">
              <w:rPr>
                <w:rFonts w:ascii="Book Antiqua" w:hAnsi="Book Antiqua"/>
                <w:i/>
                <w:iCs/>
                <w:color w:val="000000"/>
                <w:sz w:val="22"/>
                <w:szCs w:val="22"/>
              </w:rPr>
              <w:t>a Comisiei pentru recens</w:t>
            </w:r>
            <w:r w:rsidRPr="00AC14E6">
              <w:rPr>
                <w:rFonts w:ascii="Book Antiqua" w:hAnsi="Book Antiqua" w:cs="Book Antiqua"/>
                <w:i/>
                <w:iCs/>
                <w:color w:val="000000"/>
                <w:sz w:val="22"/>
                <w:szCs w:val="22"/>
              </w:rPr>
              <w:t>ă</w:t>
            </w:r>
            <w:r w:rsidRPr="00AC14E6">
              <w:rPr>
                <w:rFonts w:ascii="Book Antiqua" w:hAnsi="Book Antiqua"/>
                <w:i/>
                <w:iCs/>
                <w:color w:val="000000"/>
                <w:sz w:val="22"/>
                <w:szCs w:val="22"/>
              </w:rPr>
              <w:t>m</w:t>
            </w:r>
            <w:r w:rsidRPr="00AC14E6">
              <w:rPr>
                <w:rFonts w:ascii="Book Antiqua" w:hAnsi="Book Antiqua" w:cs="Book Antiqua"/>
                <w:i/>
                <w:iCs/>
                <w:color w:val="000000"/>
                <w:sz w:val="22"/>
                <w:szCs w:val="22"/>
              </w:rPr>
              <w:t>â</w:t>
            </w:r>
            <w:r w:rsidRPr="00AC14E6">
              <w:rPr>
                <w:rFonts w:ascii="Book Antiqua" w:hAnsi="Book Antiqua"/>
                <w:i/>
                <w:iCs/>
                <w:color w:val="000000"/>
                <w:sz w:val="22"/>
                <w:szCs w:val="22"/>
              </w:rPr>
              <w:t>ntul popula</w:t>
            </w:r>
            <w:r w:rsidRPr="00AC14E6">
              <w:rPr>
                <w:rFonts w:ascii="Cambria" w:hAnsi="Cambria" w:cs="Cambria"/>
                <w:i/>
                <w:iCs/>
                <w:color w:val="000000"/>
                <w:sz w:val="22"/>
                <w:szCs w:val="22"/>
              </w:rPr>
              <w:t>ț</w:t>
            </w:r>
            <w:r w:rsidRPr="00AC14E6">
              <w:rPr>
                <w:rFonts w:ascii="Book Antiqua" w:hAnsi="Book Antiqua"/>
                <w:i/>
                <w:iCs/>
                <w:color w:val="000000"/>
                <w:sz w:val="22"/>
                <w:szCs w:val="22"/>
              </w:rPr>
              <w:t xml:space="preserve">iei </w:t>
            </w:r>
            <w:r w:rsidRPr="00AC14E6">
              <w:rPr>
                <w:rFonts w:ascii="Cambria" w:hAnsi="Cambria" w:cs="Cambria"/>
                <w:i/>
                <w:iCs/>
                <w:color w:val="000000"/>
                <w:sz w:val="22"/>
                <w:szCs w:val="22"/>
              </w:rPr>
              <w:t>ș</w:t>
            </w:r>
            <w:r w:rsidRPr="00AC14E6">
              <w:rPr>
                <w:rFonts w:ascii="Book Antiqua" w:hAnsi="Book Antiqua"/>
                <w:i/>
                <w:iCs/>
                <w:color w:val="000000"/>
                <w:sz w:val="22"/>
                <w:szCs w:val="22"/>
              </w:rPr>
              <w:t>i locuin</w:t>
            </w:r>
            <w:r w:rsidRPr="00AC14E6">
              <w:rPr>
                <w:rFonts w:ascii="Cambria" w:hAnsi="Cambria" w:cs="Cambria"/>
                <w:i/>
                <w:iCs/>
                <w:color w:val="000000"/>
                <w:sz w:val="22"/>
                <w:szCs w:val="22"/>
              </w:rPr>
              <w:t>ț</w:t>
            </w:r>
            <w:r>
              <w:rPr>
                <w:rFonts w:ascii="Book Antiqua" w:hAnsi="Book Antiqua"/>
                <w:i/>
                <w:iCs/>
                <w:color w:val="000000"/>
                <w:sz w:val="22"/>
                <w:szCs w:val="22"/>
              </w:rPr>
              <w:t>elor</w:t>
            </w:r>
          </w:p>
        </w:tc>
        <w:tc>
          <w:tcPr>
            <w:tcW w:w="1009" w:type="pct"/>
            <w:tcBorders>
              <w:top w:val="dotted" w:sz="4" w:space="0" w:color="A6A6A6"/>
              <w:left w:val="double" w:sz="4" w:space="0" w:color="006600"/>
              <w:bottom w:val="dotted" w:sz="4" w:space="0" w:color="A6A6A6"/>
              <w:right w:val="nil"/>
            </w:tcBorders>
            <w:shd w:val="clear" w:color="auto" w:fill="auto"/>
          </w:tcPr>
          <w:p w14:paraId="3490BD2A" w14:textId="3F1E701B" w:rsidR="00AC14E6" w:rsidRPr="00C900A3" w:rsidRDefault="00AC14E6" w:rsidP="00AC14E6">
            <w:pPr>
              <w:ind w:right="198"/>
              <w:rPr>
                <w:rFonts w:ascii="Times New Roman" w:hAnsi="Times New Roman"/>
                <w:b/>
                <w:bCs/>
                <w:i/>
                <w:iCs/>
                <w:sz w:val="22"/>
                <w:szCs w:val="22"/>
              </w:rPr>
            </w:pPr>
            <w:r>
              <w:rPr>
                <w:rFonts w:ascii="Times New Roman" w:hAnsi="Times New Roman"/>
                <w:b/>
                <w:bCs/>
                <w:i/>
                <w:iCs/>
                <w:sz w:val="22"/>
                <w:szCs w:val="22"/>
              </w:rPr>
              <w:t>23 februarie</w:t>
            </w:r>
          </w:p>
        </w:tc>
      </w:tr>
      <w:tr w:rsidR="00AC14E6" w:rsidRPr="00F50627" w14:paraId="1A519FC2"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96C90FF" w14:textId="735B71AA" w:rsidR="00AC14E6" w:rsidRPr="00AC14E6"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 xml:space="preserve">Vizită de lucru la primăriile comunelor Burjuc </w:t>
            </w:r>
            <w:r w:rsidRPr="00AC14E6">
              <w:rPr>
                <w:rFonts w:ascii="Cambria" w:hAnsi="Cambria" w:cs="Cambria"/>
                <w:i/>
                <w:iCs/>
                <w:color w:val="000000"/>
                <w:sz w:val="22"/>
                <w:szCs w:val="22"/>
              </w:rPr>
              <w:t>ș</w:t>
            </w:r>
            <w:r w:rsidRPr="00AC14E6">
              <w:rPr>
                <w:rFonts w:ascii="Book Antiqua" w:hAnsi="Book Antiqua"/>
                <w:i/>
                <w:iCs/>
                <w:color w:val="000000"/>
                <w:sz w:val="22"/>
                <w:szCs w:val="22"/>
              </w:rPr>
              <w:t>i Dobra</w:t>
            </w:r>
          </w:p>
        </w:tc>
        <w:tc>
          <w:tcPr>
            <w:tcW w:w="1009" w:type="pct"/>
            <w:tcBorders>
              <w:top w:val="dotted" w:sz="4" w:space="0" w:color="A6A6A6"/>
              <w:left w:val="double" w:sz="4" w:space="0" w:color="006600"/>
              <w:bottom w:val="dotted" w:sz="4" w:space="0" w:color="A6A6A6"/>
              <w:right w:val="nil"/>
            </w:tcBorders>
            <w:shd w:val="clear" w:color="auto" w:fill="auto"/>
          </w:tcPr>
          <w:p w14:paraId="75034A98" w14:textId="0F50F494" w:rsidR="00AC14E6" w:rsidRPr="00C900A3" w:rsidRDefault="00AC14E6" w:rsidP="00AC14E6">
            <w:pPr>
              <w:ind w:right="198"/>
              <w:rPr>
                <w:rFonts w:ascii="Times New Roman" w:hAnsi="Times New Roman"/>
                <w:b/>
                <w:bCs/>
                <w:i/>
                <w:iCs/>
                <w:sz w:val="22"/>
                <w:szCs w:val="22"/>
              </w:rPr>
            </w:pPr>
            <w:r>
              <w:rPr>
                <w:rFonts w:ascii="Times New Roman" w:hAnsi="Times New Roman"/>
                <w:b/>
                <w:bCs/>
                <w:i/>
                <w:iCs/>
                <w:sz w:val="22"/>
                <w:szCs w:val="22"/>
              </w:rPr>
              <w:t>23 februarie</w:t>
            </w:r>
          </w:p>
        </w:tc>
      </w:tr>
      <w:tr w:rsidR="00AC14E6" w:rsidRPr="00F50627" w14:paraId="588315CC"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0D3E5456" w14:textId="603B7BD4" w:rsidR="00AC14E6" w:rsidRPr="00AC14E6"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Participare la  conferin</w:t>
            </w:r>
            <w:r w:rsidRPr="00AC14E6">
              <w:rPr>
                <w:rFonts w:ascii="Cambria" w:hAnsi="Cambria" w:cs="Cambria"/>
                <w:i/>
                <w:iCs/>
                <w:color w:val="000000"/>
                <w:sz w:val="22"/>
                <w:szCs w:val="22"/>
              </w:rPr>
              <w:t>ț</w:t>
            </w:r>
            <w:r w:rsidRPr="00AC14E6">
              <w:rPr>
                <w:rFonts w:ascii="Book Antiqua" w:hAnsi="Book Antiqua"/>
                <w:i/>
                <w:iCs/>
                <w:color w:val="000000"/>
                <w:sz w:val="22"/>
                <w:szCs w:val="22"/>
              </w:rPr>
              <w:t>a on line orgaizată cu Camera de comer</w:t>
            </w:r>
            <w:r w:rsidRPr="00AC14E6">
              <w:rPr>
                <w:rFonts w:ascii="Cambria" w:hAnsi="Cambria" w:cs="Cambria"/>
                <w:i/>
                <w:iCs/>
                <w:color w:val="000000"/>
                <w:sz w:val="22"/>
                <w:szCs w:val="22"/>
              </w:rPr>
              <w:t>ț</w:t>
            </w:r>
            <w:r w:rsidRPr="00AC14E6">
              <w:rPr>
                <w:rFonts w:ascii="Book Antiqua" w:hAnsi="Book Antiqua"/>
                <w:i/>
                <w:iCs/>
                <w:color w:val="000000"/>
                <w:sz w:val="22"/>
                <w:szCs w:val="22"/>
              </w:rPr>
              <w:t xml:space="preserve"> Franceză</w:t>
            </w:r>
          </w:p>
        </w:tc>
        <w:tc>
          <w:tcPr>
            <w:tcW w:w="1009" w:type="pct"/>
            <w:tcBorders>
              <w:top w:val="dotted" w:sz="4" w:space="0" w:color="A6A6A6"/>
              <w:left w:val="double" w:sz="4" w:space="0" w:color="006600"/>
              <w:bottom w:val="dotted" w:sz="4" w:space="0" w:color="A6A6A6"/>
              <w:right w:val="nil"/>
            </w:tcBorders>
            <w:shd w:val="clear" w:color="auto" w:fill="auto"/>
          </w:tcPr>
          <w:p w14:paraId="2B362DAD" w14:textId="2FC384DE" w:rsidR="00AC14E6" w:rsidRPr="00C900A3" w:rsidRDefault="00AC14E6" w:rsidP="00AC14E6">
            <w:pPr>
              <w:ind w:right="198"/>
              <w:rPr>
                <w:rFonts w:ascii="Times New Roman" w:hAnsi="Times New Roman"/>
                <w:b/>
                <w:bCs/>
                <w:i/>
                <w:iCs/>
                <w:sz w:val="22"/>
                <w:szCs w:val="22"/>
              </w:rPr>
            </w:pPr>
            <w:r>
              <w:rPr>
                <w:rFonts w:ascii="Times New Roman" w:hAnsi="Times New Roman"/>
                <w:b/>
                <w:bCs/>
                <w:i/>
                <w:iCs/>
                <w:sz w:val="22"/>
                <w:szCs w:val="22"/>
              </w:rPr>
              <w:t>23 februarie</w:t>
            </w:r>
          </w:p>
        </w:tc>
      </w:tr>
      <w:tr w:rsidR="00AC14E6" w:rsidRPr="00F50627" w14:paraId="73BE8B59"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AEB1070" w14:textId="2995E6D3" w:rsidR="00AC14E6" w:rsidRPr="00AC14E6"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 xml:space="preserve">Participare la </w:t>
            </w:r>
            <w:r w:rsidRPr="00AC14E6">
              <w:rPr>
                <w:rFonts w:ascii="Cambria" w:hAnsi="Cambria" w:cs="Cambria"/>
                <w:i/>
                <w:iCs/>
                <w:color w:val="000000"/>
                <w:sz w:val="22"/>
                <w:szCs w:val="22"/>
              </w:rPr>
              <w:t>ș</w:t>
            </w:r>
            <w:r w:rsidRPr="00AC14E6">
              <w:rPr>
                <w:rFonts w:ascii="Book Antiqua" w:hAnsi="Book Antiqua"/>
                <w:i/>
                <w:iCs/>
                <w:color w:val="000000"/>
                <w:sz w:val="22"/>
                <w:szCs w:val="22"/>
              </w:rPr>
              <w:t>edin</w:t>
            </w:r>
            <w:r w:rsidRPr="00AC14E6">
              <w:rPr>
                <w:rFonts w:ascii="Cambria" w:hAnsi="Cambria" w:cs="Cambria"/>
                <w:i/>
                <w:iCs/>
                <w:color w:val="000000"/>
                <w:sz w:val="22"/>
                <w:szCs w:val="22"/>
              </w:rPr>
              <w:t>ț</w:t>
            </w:r>
            <w:r w:rsidRPr="00AC14E6">
              <w:rPr>
                <w:rFonts w:ascii="Book Antiqua" w:hAnsi="Book Antiqua"/>
                <w:i/>
                <w:iCs/>
                <w:color w:val="000000"/>
                <w:sz w:val="22"/>
                <w:szCs w:val="22"/>
              </w:rPr>
              <w:t xml:space="preserve">a de lucru, cu APIA, ISU </w:t>
            </w:r>
            <w:r w:rsidRPr="00AC14E6">
              <w:rPr>
                <w:rFonts w:ascii="Cambria" w:hAnsi="Cambria" w:cs="Cambria"/>
                <w:i/>
                <w:iCs/>
                <w:color w:val="000000"/>
                <w:sz w:val="22"/>
                <w:szCs w:val="22"/>
              </w:rPr>
              <w:t>ș</w:t>
            </w:r>
            <w:r w:rsidRPr="00AC14E6">
              <w:rPr>
                <w:rFonts w:ascii="Book Antiqua" w:hAnsi="Book Antiqua"/>
                <w:i/>
                <w:iCs/>
                <w:color w:val="000000"/>
                <w:sz w:val="22"/>
                <w:szCs w:val="22"/>
              </w:rPr>
              <w:t>i Garda de Mediu, pentru a fi stabilite m</w:t>
            </w:r>
            <w:r w:rsidRPr="00AC14E6">
              <w:rPr>
                <w:rFonts w:ascii="Book Antiqua" w:hAnsi="Book Antiqua" w:cs="Book Antiqua"/>
                <w:i/>
                <w:iCs/>
                <w:color w:val="000000"/>
                <w:sz w:val="22"/>
                <w:szCs w:val="22"/>
              </w:rPr>
              <w:t>ă</w:t>
            </w:r>
            <w:r w:rsidRPr="00AC14E6">
              <w:rPr>
                <w:rFonts w:ascii="Book Antiqua" w:hAnsi="Book Antiqua"/>
                <w:i/>
                <w:iCs/>
                <w:color w:val="000000"/>
                <w:sz w:val="22"/>
                <w:szCs w:val="22"/>
              </w:rPr>
              <w:t>surile care trebuie aplicate imediat pentru prevenirea incendiilor de vegeta</w:t>
            </w:r>
            <w:r w:rsidRPr="00AC14E6">
              <w:rPr>
                <w:rFonts w:ascii="Cambria" w:hAnsi="Cambria" w:cs="Cambria"/>
                <w:i/>
                <w:iCs/>
                <w:color w:val="000000"/>
                <w:sz w:val="22"/>
                <w:szCs w:val="22"/>
              </w:rPr>
              <w:t>ț</w:t>
            </w:r>
            <w:r w:rsidRPr="00AC14E6">
              <w:rPr>
                <w:rFonts w:ascii="Book Antiqua" w:hAnsi="Book Antiqua"/>
                <w:i/>
                <w:iCs/>
                <w:color w:val="000000"/>
                <w:sz w:val="22"/>
                <w:szCs w:val="22"/>
              </w:rPr>
              <w:t>ie uscat</w:t>
            </w:r>
            <w:r w:rsidRPr="00AC14E6">
              <w:rPr>
                <w:rFonts w:ascii="Book Antiqua" w:hAnsi="Book Antiqua" w:cs="Book Antiqua"/>
                <w:i/>
                <w:iCs/>
                <w:color w:val="000000"/>
                <w:sz w:val="22"/>
                <w:szCs w:val="22"/>
              </w:rPr>
              <w:t>ă</w:t>
            </w:r>
            <w:r w:rsidRPr="00AC14E6">
              <w:rPr>
                <w:rFonts w:ascii="Book Antiqua" w:hAnsi="Book Antiqua"/>
                <w:i/>
                <w:iCs/>
                <w:color w:val="000000"/>
                <w:sz w:val="22"/>
                <w:szCs w:val="22"/>
              </w:rPr>
              <w:t>, miri</w:t>
            </w:r>
            <w:r w:rsidRPr="00AC14E6">
              <w:rPr>
                <w:rFonts w:ascii="Cambria" w:hAnsi="Cambria" w:cs="Cambria"/>
                <w:i/>
                <w:iCs/>
                <w:color w:val="000000"/>
                <w:sz w:val="22"/>
                <w:szCs w:val="22"/>
              </w:rPr>
              <w:t>ș</w:t>
            </w:r>
            <w:r w:rsidRPr="00AC14E6">
              <w:rPr>
                <w:rFonts w:ascii="Book Antiqua" w:hAnsi="Book Antiqua"/>
                <w:i/>
                <w:iCs/>
                <w:color w:val="000000"/>
                <w:sz w:val="22"/>
                <w:szCs w:val="22"/>
              </w:rPr>
              <w:t xml:space="preserve">ti </w:t>
            </w:r>
            <w:r w:rsidRPr="00AC14E6">
              <w:rPr>
                <w:rFonts w:ascii="Cambria" w:hAnsi="Cambria" w:cs="Cambria"/>
                <w:i/>
                <w:iCs/>
                <w:color w:val="000000"/>
                <w:sz w:val="22"/>
                <w:szCs w:val="22"/>
              </w:rPr>
              <w:t>ș</w:t>
            </w:r>
            <w:r w:rsidRPr="00AC14E6">
              <w:rPr>
                <w:rFonts w:ascii="Book Antiqua" w:hAnsi="Book Antiqua"/>
                <w:i/>
                <w:iCs/>
                <w:color w:val="000000"/>
                <w:sz w:val="22"/>
                <w:szCs w:val="22"/>
              </w:rPr>
              <w:t>i resturi vegetale.</w:t>
            </w:r>
          </w:p>
        </w:tc>
        <w:tc>
          <w:tcPr>
            <w:tcW w:w="1009" w:type="pct"/>
            <w:tcBorders>
              <w:top w:val="dotted" w:sz="4" w:space="0" w:color="A6A6A6"/>
              <w:left w:val="double" w:sz="4" w:space="0" w:color="006600"/>
              <w:bottom w:val="dotted" w:sz="4" w:space="0" w:color="A6A6A6"/>
              <w:right w:val="nil"/>
            </w:tcBorders>
            <w:shd w:val="clear" w:color="auto" w:fill="auto"/>
          </w:tcPr>
          <w:p w14:paraId="46E25408" w14:textId="14E97517" w:rsidR="00AC14E6" w:rsidRPr="00C900A3" w:rsidRDefault="00AC14E6" w:rsidP="00AC14E6">
            <w:pPr>
              <w:ind w:right="198"/>
              <w:rPr>
                <w:rFonts w:ascii="Times New Roman" w:hAnsi="Times New Roman"/>
                <w:b/>
                <w:bCs/>
                <w:i/>
                <w:iCs/>
                <w:sz w:val="22"/>
                <w:szCs w:val="22"/>
              </w:rPr>
            </w:pPr>
            <w:r>
              <w:rPr>
                <w:rFonts w:ascii="Times New Roman" w:hAnsi="Times New Roman"/>
                <w:b/>
                <w:bCs/>
                <w:i/>
                <w:iCs/>
                <w:sz w:val="22"/>
                <w:szCs w:val="22"/>
              </w:rPr>
              <w:t>24 februarie</w:t>
            </w:r>
          </w:p>
        </w:tc>
      </w:tr>
      <w:tr w:rsidR="00AC14E6" w:rsidRPr="007A51EB" w14:paraId="0FE72BF2" w14:textId="77777777" w:rsidTr="00BC1C91">
        <w:trPr>
          <w:trHeight w:val="233"/>
        </w:trPr>
        <w:tc>
          <w:tcPr>
            <w:tcW w:w="3991" w:type="pct"/>
            <w:tcBorders>
              <w:top w:val="dotted" w:sz="4" w:space="0" w:color="A6A6A6"/>
              <w:left w:val="nil"/>
              <w:bottom w:val="dotted" w:sz="4" w:space="0" w:color="A6A6A6"/>
              <w:right w:val="double" w:sz="4" w:space="0" w:color="006600"/>
            </w:tcBorders>
            <w:shd w:val="clear" w:color="auto" w:fill="auto"/>
          </w:tcPr>
          <w:p w14:paraId="0E55911C" w14:textId="6DCEC728" w:rsidR="00AC14E6" w:rsidRPr="00AC14E6"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 xml:space="preserve">Participare la </w:t>
            </w:r>
            <w:r w:rsidRPr="00AC14E6">
              <w:rPr>
                <w:rFonts w:ascii="Cambria" w:hAnsi="Cambria" w:cs="Cambria"/>
                <w:i/>
                <w:iCs/>
                <w:color w:val="000000"/>
                <w:sz w:val="22"/>
                <w:szCs w:val="22"/>
              </w:rPr>
              <w:t>ș</w:t>
            </w:r>
            <w:r w:rsidRPr="00AC14E6">
              <w:rPr>
                <w:rFonts w:ascii="Book Antiqua" w:hAnsi="Book Antiqua"/>
                <w:i/>
                <w:iCs/>
                <w:color w:val="000000"/>
                <w:sz w:val="22"/>
                <w:szCs w:val="22"/>
              </w:rPr>
              <w:t>edin</w:t>
            </w:r>
            <w:r w:rsidRPr="00AC14E6">
              <w:rPr>
                <w:rFonts w:ascii="Cambria" w:hAnsi="Cambria" w:cs="Cambria"/>
                <w:i/>
                <w:iCs/>
                <w:color w:val="000000"/>
                <w:sz w:val="22"/>
                <w:szCs w:val="22"/>
              </w:rPr>
              <w:t>ț</w:t>
            </w:r>
            <w:r w:rsidRPr="00AC14E6">
              <w:rPr>
                <w:rFonts w:ascii="Book Antiqua" w:hAnsi="Book Antiqua"/>
                <w:i/>
                <w:iCs/>
                <w:color w:val="000000"/>
                <w:sz w:val="22"/>
                <w:szCs w:val="22"/>
              </w:rPr>
              <w:t>a Comisie jude</w:t>
            </w:r>
            <w:r w:rsidRPr="00AC14E6">
              <w:rPr>
                <w:rFonts w:ascii="Cambria" w:hAnsi="Cambria" w:cs="Cambria"/>
                <w:i/>
                <w:iCs/>
                <w:color w:val="000000"/>
                <w:sz w:val="22"/>
                <w:szCs w:val="22"/>
              </w:rPr>
              <w:t>ț</w:t>
            </w:r>
            <w:r w:rsidRPr="00AC14E6">
              <w:rPr>
                <w:rFonts w:ascii="Book Antiqua" w:hAnsi="Book Antiqua"/>
                <w:i/>
                <w:iCs/>
                <w:color w:val="000000"/>
                <w:sz w:val="22"/>
                <w:szCs w:val="22"/>
              </w:rPr>
              <w:t>ene de fond funciar Hunedoara</w:t>
            </w:r>
          </w:p>
        </w:tc>
        <w:tc>
          <w:tcPr>
            <w:tcW w:w="1009" w:type="pct"/>
            <w:tcBorders>
              <w:top w:val="dotted" w:sz="4" w:space="0" w:color="A6A6A6"/>
              <w:left w:val="double" w:sz="4" w:space="0" w:color="006600"/>
              <w:bottom w:val="dotted" w:sz="4" w:space="0" w:color="A6A6A6"/>
              <w:right w:val="nil"/>
            </w:tcBorders>
            <w:shd w:val="clear" w:color="auto" w:fill="auto"/>
          </w:tcPr>
          <w:p w14:paraId="03AC9BF1" w14:textId="6DF62F9A" w:rsidR="00AC14E6" w:rsidRPr="00C900A3" w:rsidRDefault="00AC14E6" w:rsidP="00AC14E6">
            <w:pPr>
              <w:spacing w:before="40"/>
              <w:ind w:right="198"/>
              <w:jc w:val="both"/>
              <w:rPr>
                <w:rFonts w:ascii="Book Antiqua" w:hAnsi="Book Antiqua" w:cs="Calibri"/>
                <w:i/>
                <w:iCs/>
                <w:color w:val="000000"/>
                <w:sz w:val="22"/>
                <w:szCs w:val="22"/>
              </w:rPr>
            </w:pPr>
            <w:r w:rsidRPr="00D251DC">
              <w:rPr>
                <w:rFonts w:ascii="Times New Roman" w:hAnsi="Times New Roman"/>
                <w:b/>
                <w:bCs/>
                <w:i/>
                <w:iCs/>
                <w:sz w:val="22"/>
                <w:szCs w:val="22"/>
              </w:rPr>
              <w:t>24 februarie</w:t>
            </w:r>
          </w:p>
        </w:tc>
      </w:tr>
      <w:tr w:rsidR="00AC14E6" w:rsidRPr="007A51EB" w14:paraId="55222D8E" w14:textId="77777777" w:rsidTr="00BC1C91">
        <w:trPr>
          <w:trHeight w:val="195"/>
        </w:trPr>
        <w:tc>
          <w:tcPr>
            <w:tcW w:w="3991" w:type="pct"/>
            <w:tcBorders>
              <w:top w:val="dotted" w:sz="4" w:space="0" w:color="A6A6A6"/>
              <w:left w:val="nil"/>
              <w:bottom w:val="dotted" w:sz="4" w:space="0" w:color="A6A6A6"/>
              <w:right w:val="double" w:sz="4" w:space="0" w:color="006600"/>
            </w:tcBorders>
            <w:shd w:val="clear" w:color="auto" w:fill="auto"/>
          </w:tcPr>
          <w:p w14:paraId="7CE123F9" w14:textId="00A22751" w:rsidR="00AC14E6" w:rsidRPr="00AC14E6" w:rsidRDefault="00AC14E6" w:rsidP="00AC14E6">
            <w:pPr>
              <w:spacing w:before="40"/>
              <w:ind w:right="198"/>
              <w:jc w:val="both"/>
              <w:rPr>
                <w:rFonts w:ascii="Book Antiqua" w:hAnsi="Book Antiqua"/>
                <w:i/>
                <w:iCs/>
                <w:color w:val="000000"/>
                <w:sz w:val="22"/>
                <w:szCs w:val="22"/>
              </w:rPr>
            </w:pPr>
            <w:r w:rsidRPr="00AC14E6">
              <w:rPr>
                <w:rFonts w:ascii="Book Antiqua" w:hAnsi="Book Antiqua"/>
                <w:i/>
                <w:iCs/>
                <w:color w:val="000000"/>
                <w:sz w:val="22"/>
                <w:szCs w:val="22"/>
              </w:rPr>
              <w:t>Întâlnire de lucru cu primarii din jude</w:t>
            </w:r>
            <w:r w:rsidRPr="00AC14E6">
              <w:rPr>
                <w:rFonts w:ascii="Cambria" w:hAnsi="Cambria" w:cs="Cambria"/>
                <w:i/>
                <w:iCs/>
                <w:color w:val="000000"/>
                <w:sz w:val="22"/>
                <w:szCs w:val="22"/>
              </w:rPr>
              <w:t>ț</w:t>
            </w:r>
            <w:r w:rsidRPr="00AC14E6">
              <w:rPr>
                <w:rFonts w:ascii="Book Antiqua" w:hAnsi="Book Antiqua"/>
                <w:i/>
                <w:iCs/>
                <w:color w:val="000000"/>
                <w:sz w:val="22"/>
                <w:szCs w:val="22"/>
              </w:rPr>
              <w:t>, beneficiari ai proiectelor pe gaz</w:t>
            </w:r>
          </w:p>
        </w:tc>
        <w:tc>
          <w:tcPr>
            <w:tcW w:w="1009" w:type="pct"/>
            <w:tcBorders>
              <w:top w:val="dotted" w:sz="4" w:space="0" w:color="A6A6A6"/>
              <w:left w:val="double" w:sz="4" w:space="0" w:color="006600"/>
              <w:bottom w:val="dotted" w:sz="4" w:space="0" w:color="A6A6A6"/>
              <w:right w:val="nil"/>
            </w:tcBorders>
            <w:shd w:val="clear" w:color="auto" w:fill="auto"/>
          </w:tcPr>
          <w:p w14:paraId="642E0928" w14:textId="188D2B32" w:rsidR="00AC14E6" w:rsidRPr="00C900A3" w:rsidRDefault="00AC14E6" w:rsidP="00AC14E6">
            <w:pPr>
              <w:spacing w:before="40"/>
              <w:ind w:right="198"/>
              <w:jc w:val="both"/>
              <w:rPr>
                <w:rFonts w:ascii="Book Antiqua" w:hAnsi="Book Antiqua" w:cs="Calibri"/>
                <w:i/>
                <w:iCs/>
                <w:color w:val="000000"/>
                <w:sz w:val="22"/>
                <w:szCs w:val="22"/>
              </w:rPr>
            </w:pPr>
            <w:r w:rsidRPr="00D251DC">
              <w:rPr>
                <w:rFonts w:ascii="Times New Roman" w:hAnsi="Times New Roman"/>
                <w:b/>
                <w:bCs/>
                <w:i/>
                <w:iCs/>
                <w:sz w:val="22"/>
                <w:szCs w:val="22"/>
              </w:rPr>
              <w:t>24 februarie</w:t>
            </w:r>
          </w:p>
        </w:tc>
      </w:tr>
    </w:tbl>
    <w:p w14:paraId="3802920E" w14:textId="3F444826"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6C65C908" w:rsidR="00DB1642" w:rsidRDefault="00DB1642" w:rsidP="00B2000B">
      <w:pPr>
        <w:pStyle w:val="separatorcapitole"/>
        <w:spacing w:before="0"/>
        <w:ind w:right="198"/>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4A4D9F6D" w:rsidR="00DB1642" w:rsidRDefault="00DB1642" w:rsidP="00AF6222">
      <w:pPr>
        <w:spacing w:before="0"/>
        <w:jc w:val="center"/>
        <w:rPr>
          <w:szCs w:val="18"/>
        </w:rPr>
      </w:pPr>
      <w:r w:rsidRPr="00F50627">
        <w:rPr>
          <w:noProof/>
          <w:lang w:eastAsia="ro-RO"/>
        </w:rPr>
        <w:drawing>
          <wp:inline distT="0" distB="0" distL="0" distR="0" wp14:anchorId="1BA6DE74" wp14:editId="399F79C8">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65456B2D"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9692904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9" w:name="_Hlk89673293"/>
      <w:r w:rsidR="00980F67">
        <w:rPr>
          <w:rFonts w:ascii="Book Antiqua" w:hAnsi="Book Antiqua"/>
          <w:spacing w:val="-6"/>
          <w:sz w:val="20"/>
        </w:rPr>
        <w:t xml:space="preserve">21 – 25 </w:t>
      </w:r>
      <w:r w:rsidR="00C615BC" w:rsidRPr="00C615BC">
        <w:rPr>
          <w:rFonts w:ascii="Book Antiqua" w:hAnsi="Book Antiqua"/>
          <w:spacing w:val="-6"/>
          <w:sz w:val="20"/>
        </w:rPr>
        <w:t xml:space="preserve"> februarie</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6CE5015D" w14:textId="13269A7F" w:rsidR="00D10FBA" w:rsidRDefault="00D10FBA" w:rsidP="00D10FB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w:t>
      </w:r>
      <w:r w:rsidR="00420998">
        <w:rPr>
          <w:rFonts w:cs="Arial"/>
          <w:b/>
          <w:bCs/>
          <w:smallCaps/>
          <w:color w:val="0000FF"/>
          <w:szCs w:val="18"/>
          <w:u w:val="single"/>
        </w:rPr>
        <w:t>80</w:t>
      </w:r>
      <w:r>
        <w:rPr>
          <w:rFonts w:cs="Arial"/>
          <w:b/>
          <w:bCs/>
          <w:smallCaps/>
          <w:color w:val="0000FF"/>
          <w:szCs w:val="18"/>
          <w:u w:val="single"/>
        </w:rPr>
        <w:t>/</w:t>
      </w:r>
      <w:r w:rsidRPr="0041382A">
        <w:rPr>
          <w:rFonts w:cs="Arial"/>
          <w:b/>
          <w:bCs/>
          <w:smallCaps/>
          <w:color w:val="0000FF"/>
          <w:szCs w:val="18"/>
          <w:u w:val="single"/>
        </w:rPr>
        <w:t xml:space="preserve"> </w:t>
      </w:r>
      <w:r w:rsidR="00420998">
        <w:rPr>
          <w:rFonts w:cs="Arial"/>
          <w:b/>
          <w:bCs/>
          <w:smallCaps/>
          <w:color w:val="0000FF"/>
          <w:szCs w:val="18"/>
          <w:u w:val="single"/>
        </w:rPr>
        <w:t>23</w:t>
      </w:r>
      <w:r>
        <w:rPr>
          <w:rFonts w:cs="Arial"/>
          <w:b/>
          <w:bCs/>
          <w:smallCaps/>
          <w:color w:val="0000FF"/>
          <w:szCs w:val="18"/>
          <w:u w:val="single"/>
        </w:rPr>
        <w:t xml:space="preserve"> februarie 2022</w:t>
      </w:r>
    </w:p>
    <w:p w14:paraId="4C1C3947" w14:textId="6636D847" w:rsidR="00D10FBA" w:rsidRPr="00420998" w:rsidRDefault="00420998" w:rsidP="00D10FB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156 </w:t>
      </w:r>
      <w:r w:rsidR="00D10FBA" w:rsidRPr="008F1B6B">
        <w:rPr>
          <w:rFonts w:ascii="Verdana" w:hAnsi="Verdana"/>
          <w:b/>
          <w:sz w:val="18"/>
          <w:szCs w:val="18"/>
          <w:lang w:val="ro-RO"/>
        </w:rPr>
        <w:t>-</w:t>
      </w:r>
      <w:r w:rsidR="00D10FBA" w:rsidRPr="00D10FBA">
        <w:rPr>
          <w:rFonts w:ascii="Verdana" w:hAnsi="Verdana" w:cs="Arial"/>
          <w:b/>
          <w:color w:val="153E7E"/>
          <w:sz w:val="18"/>
          <w:szCs w:val="18"/>
          <w:lang w:val="ro-RO"/>
        </w:rPr>
        <w:t xml:space="preserve"> </w:t>
      </w:r>
      <w:r w:rsidRPr="00420998">
        <w:rPr>
          <w:rFonts w:ascii="Verdana" w:hAnsi="Verdana" w:cs="Arial"/>
          <w:b/>
          <w:color w:val="153E7E"/>
          <w:sz w:val="18"/>
          <w:szCs w:val="18"/>
          <w:lang w:val="ro-RO"/>
        </w:rPr>
        <w:t>Parlamentul României</w:t>
      </w:r>
      <w:r w:rsidR="00D10FBA" w:rsidRPr="008F1B6B">
        <w:rPr>
          <w:rFonts w:ascii="Verdana" w:hAnsi="Verdana" w:cs="Arial"/>
          <w:color w:val="153E7E"/>
          <w:sz w:val="18"/>
          <w:szCs w:val="18"/>
          <w:lang w:val="ro-RO"/>
        </w:rPr>
        <w:t xml:space="preserve"> -</w:t>
      </w:r>
      <w:r w:rsidR="00D10FBA">
        <w:rPr>
          <w:rFonts w:ascii="Verdana" w:hAnsi="Verdana" w:cs="Arial"/>
          <w:color w:val="153E7E"/>
          <w:sz w:val="18"/>
          <w:szCs w:val="18"/>
          <w:lang w:val="ro-RO"/>
        </w:rPr>
        <w:t xml:space="preserve"> </w:t>
      </w:r>
      <w:r w:rsidRPr="00420998">
        <w:rPr>
          <w:rFonts w:ascii="Verdana" w:hAnsi="Verdana"/>
          <w:sz w:val="18"/>
          <w:szCs w:val="18"/>
          <w:lang w:val="ro-RO"/>
        </w:rPr>
        <w:t>Lege privind protecția cetățenilor români care lucrează în străinătate (republicare)</w:t>
      </w:r>
    </w:p>
    <w:p w14:paraId="7FA41EFA" w14:textId="0A1E19F0" w:rsidR="00420998" w:rsidRDefault="00420998" w:rsidP="00420998">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181/</w:t>
      </w:r>
      <w:r w:rsidRPr="0041382A">
        <w:rPr>
          <w:rFonts w:cs="Arial"/>
          <w:b/>
          <w:bCs/>
          <w:smallCaps/>
          <w:color w:val="0000FF"/>
          <w:szCs w:val="18"/>
          <w:u w:val="single"/>
        </w:rPr>
        <w:t xml:space="preserve"> </w:t>
      </w:r>
      <w:r>
        <w:rPr>
          <w:rFonts w:cs="Arial"/>
          <w:b/>
          <w:bCs/>
          <w:smallCaps/>
          <w:color w:val="0000FF"/>
          <w:szCs w:val="18"/>
          <w:u w:val="single"/>
        </w:rPr>
        <w:t>23 februarie 2022</w:t>
      </w:r>
    </w:p>
    <w:p w14:paraId="56456C75" w14:textId="29411284" w:rsidR="00420998" w:rsidRDefault="00420998" w:rsidP="00420998">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12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420998">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420998">
        <w:rPr>
          <w:rFonts w:ascii="Verdana" w:hAnsi="Verdana"/>
          <w:sz w:val="18"/>
          <w:szCs w:val="18"/>
          <w:lang w:val="ro-RO"/>
        </w:rPr>
        <w:t>Ordonanță de urgență pentru modificarea și completarea Ordonanței Guvernului nr. 15/2013 privind reglementarea unor măsuri fiscal-bugetare pentru suportarea de la bugetul de stat a sumelor aferente corecțiilor financiare aplicate pentru abaterile de la conformitatea cu legislația din domeniul achizițiilor publice pentru Programul operațional sectorial Mediu 2007-2013 și pentru proiecte preluate integral sau parțial din Programul operațional sectorial Mediu 2007-2013 în cadrul Programului operațional Infrastructura mare 2014-2020</w:t>
      </w:r>
    </w:p>
    <w:p w14:paraId="1EE9E88C" w14:textId="77777777" w:rsidR="00AF6222" w:rsidRDefault="00AF6222" w:rsidP="00420998">
      <w:pPr>
        <w:ind w:right="198"/>
        <w:jc w:val="both"/>
        <w:rPr>
          <w:rFonts w:cs="Arial"/>
          <w:b/>
          <w:bCs/>
          <w:smallCaps/>
          <w:color w:val="0000FF"/>
          <w:szCs w:val="18"/>
          <w:u w:val="single"/>
        </w:rPr>
      </w:pPr>
    </w:p>
    <w:p w14:paraId="3B91EC0D" w14:textId="6903D073" w:rsidR="00420998" w:rsidRDefault="00420998" w:rsidP="00420998">
      <w:pPr>
        <w:ind w:right="198"/>
        <w:jc w:val="both"/>
        <w:rPr>
          <w:rFonts w:cs="Arial"/>
          <w:b/>
          <w:bCs/>
          <w:smallCaps/>
          <w:color w:val="0000FF"/>
          <w:szCs w:val="18"/>
          <w:u w:val="single"/>
        </w:rPr>
      </w:pPr>
      <w:r w:rsidRPr="0041382A">
        <w:rPr>
          <w:rFonts w:cs="Arial"/>
          <w:b/>
          <w:bCs/>
          <w:smallCaps/>
          <w:color w:val="0000FF"/>
          <w:szCs w:val="18"/>
          <w:u w:val="single"/>
        </w:rPr>
        <w:lastRenderedPageBreak/>
        <w:t xml:space="preserve">M. Of. nr. </w:t>
      </w:r>
      <w:r>
        <w:rPr>
          <w:rFonts w:cs="Arial"/>
          <w:b/>
          <w:bCs/>
          <w:smallCaps/>
          <w:color w:val="0000FF"/>
          <w:szCs w:val="18"/>
          <w:u w:val="single"/>
        </w:rPr>
        <w:t>182/</w:t>
      </w:r>
      <w:r w:rsidRPr="0041382A">
        <w:rPr>
          <w:rFonts w:cs="Arial"/>
          <w:b/>
          <w:bCs/>
          <w:smallCaps/>
          <w:color w:val="0000FF"/>
          <w:szCs w:val="18"/>
          <w:u w:val="single"/>
        </w:rPr>
        <w:t xml:space="preserve"> </w:t>
      </w:r>
      <w:r>
        <w:rPr>
          <w:rFonts w:cs="Arial"/>
          <w:b/>
          <w:bCs/>
          <w:smallCaps/>
          <w:color w:val="0000FF"/>
          <w:szCs w:val="18"/>
          <w:u w:val="single"/>
        </w:rPr>
        <w:t>24 februarie 2022</w:t>
      </w:r>
    </w:p>
    <w:p w14:paraId="68198629" w14:textId="22B929BC" w:rsidR="00420998" w:rsidRPr="00420998" w:rsidRDefault="00420998" w:rsidP="00420998">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14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420998">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420998">
        <w:rPr>
          <w:rFonts w:ascii="Verdana" w:hAnsi="Verdana"/>
          <w:sz w:val="18"/>
          <w:szCs w:val="18"/>
          <w:lang w:val="ro-RO"/>
        </w:rPr>
        <w:t>Ordonanță de urgență pentru modificarea Legii nr. 146/2021 privind monitorizarea electronică în cadrul unor proceduri judiciare și execuțional penale</w:t>
      </w:r>
    </w:p>
    <w:p w14:paraId="186D49F9" w14:textId="56D7E883" w:rsidR="00420998" w:rsidRDefault="00897034" w:rsidP="00420998">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251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420998">
        <w:rPr>
          <w:rFonts w:ascii="Verdana" w:hAnsi="Verdana" w:cs="Arial"/>
          <w:b/>
          <w:color w:val="153E7E"/>
          <w:sz w:val="18"/>
          <w:szCs w:val="18"/>
          <w:lang w:val="ro-RO"/>
        </w:rPr>
        <w:t>Guvernul României</w:t>
      </w:r>
      <w:r>
        <w:rPr>
          <w:rFonts w:ascii="Verdana" w:hAnsi="Verdana"/>
          <w:b/>
          <w:sz w:val="18"/>
          <w:szCs w:val="18"/>
        </w:rPr>
        <w:t xml:space="preserve"> -</w:t>
      </w:r>
      <w:r>
        <w:rPr>
          <w:rFonts w:ascii="Verdana" w:hAnsi="Verdana"/>
          <w:sz w:val="18"/>
          <w:szCs w:val="18"/>
        </w:rPr>
        <w:t xml:space="preserve"> </w:t>
      </w:r>
      <w:r w:rsidRPr="00897034">
        <w:rPr>
          <w:rFonts w:ascii="Verdana" w:hAnsi="Verdana"/>
          <w:sz w:val="18"/>
          <w:szCs w:val="18"/>
          <w:lang w:val="ro-RO"/>
        </w:rPr>
        <w:t>Hotărâre pentru aprobarea modului de repartizare și de utilizare parțială a sumelor prevăzute la lit. c) și d) din anexa nr. 3/13/02a la Legea bugetului de stat pe anul 2022 nr. 317/2021</w:t>
      </w:r>
    </w:p>
    <w:p w14:paraId="10B4B583" w14:textId="4F9C65C1" w:rsidR="00420998" w:rsidRPr="0079598A" w:rsidRDefault="00897034" w:rsidP="00D10FBA">
      <w:pPr>
        <w:pStyle w:val="ListParagraph"/>
        <w:numPr>
          <w:ilvl w:val="0"/>
          <w:numId w:val="3"/>
        </w:numPr>
        <w:spacing w:before="120"/>
        <w:ind w:left="0" w:right="198"/>
        <w:jc w:val="both"/>
        <w:rPr>
          <w:rFonts w:ascii="Verdana" w:hAnsi="Verdana"/>
          <w:sz w:val="18"/>
          <w:szCs w:val="18"/>
        </w:rPr>
      </w:pPr>
      <w:r w:rsidRPr="00897034">
        <w:rPr>
          <w:rFonts w:ascii="Verdana" w:hAnsi="Verdana"/>
          <w:b/>
          <w:sz w:val="18"/>
          <w:szCs w:val="18"/>
        </w:rPr>
        <w:t>256</w:t>
      </w:r>
      <w:r>
        <w:rPr>
          <w:rFonts w:ascii="Verdana" w:hAnsi="Verdana"/>
          <w:sz w:val="18"/>
          <w:szCs w:val="18"/>
        </w:rPr>
        <w:t xml:space="preserve">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420998">
        <w:rPr>
          <w:rFonts w:ascii="Verdana" w:hAnsi="Verdana" w:cs="Arial"/>
          <w:b/>
          <w:color w:val="153E7E"/>
          <w:sz w:val="18"/>
          <w:szCs w:val="18"/>
          <w:lang w:val="ro-RO"/>
        </w:rPr>
        <w:t>Guvernul României</w:t>
      </w:r>
      <w:r>
        <w:rPr>
          <w:rFonts w:ascii="Verdana" w:hAnsi="Verdana"/>
          <w:b/>
          <w:sz w:val="18"/>
          <w:szCs w:val="18"/>
        </w:rPr>
        <w:t xml:space="preserve"> -</w:t>
      </w:r>
      <w:r>
        <w:rPr>
          <w:rFonts w:ascii="Verdana" w:hAnsi="Verdana"/>
          <w:sz w:val="18"/>
          <w:szCs w:val="18"/>
        </w:rPr>
        <w:t xml:space="preserve"> </w:t>
      </w:r>
      <w:r w:rsidRPr="00897034">
        <w:rPr>
          <w:rFonts w:ascii="Verdana" w:hAnsi="Verdana"/>
          <w:sz w:val="18"/>
          <w:szCs w:val="18"/>
          <w:lang w:val="ro-RO"/>
        </w:rPr>
        <w:t>Hotărâre privind modificarea unor acte normative în domeniul agriculturii</w:t>
      </w:r>
    </w:p>
    <w:p w14:paraId="116E577A" w14:textId="2E2E8779" w:rsidR="0079598A" w:rsidRDefault="0079598A" w:rsidP="0079598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187/</w:t>
      </w:r>
      <w:r w:rsidRPr="0041382A">
        <w:rPr>
          <w:rFonts w:cs="Arial"/>
          <w:b/>
          <w:bCs/>
          <w:smallCaps/>
          <w:color w:val="0000FF"/>
          <w:szCs w:val="18"/>
          <w:u w:val="single"/>
        </w:rPr>
        <w:t xml:space="preserve"> </w:t>
      </w:r>
      <w:r>
        <w:rPr>
          <w:rFonts w:cs="Arial"/>
          <w:b/>
          <w:bCs/>
          <w:smallCaps/>
          <w:color w:val="0000FF"/>
          <w:szCs w:val="18"/>
          <w:u w:val="single"/>
        </w:rPr>
        <w:t>25 februarie 2022</w:t>
      </w:r>
    </w:p>
    <w:p w14:paraId="511E98AB" w14:textId="60020034" w:rsidR="0079598A" w:rsidRPr="00420998" w:rsidRDefault="0079598A" w:rsidP="0079598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8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79598A">
        <w:rPr>
          <w:rFonts w:ascii="Verdana" w:hAnsi="Verdana" w:cs="Arial"/>
          <w:b/>
          <w:color w:val="153E7E"/>
          <w:sz w:val="18"/>
          <w:szCs w:val="18"/>
          <w:lang w:val="ro-RO"/>
        </w:rPr>
        <w:t>Autoritatea Națională de Reglementare în Domeniul Energiei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79598A">
        <w:rPr>
          <w:rFonts w:ascii="Verdana" w:hAnsi="Verdana"/>
          <w:sz w:val="18"/>
          <w:szCs w:val="18"/>
          <w:lang w:val="ro-RO"/>
        </w:rPr>
        <w:t>Ordin pentru aprobarea Regulamentului privind racordarea la sistemul de transport al gazelor naturale</w:t>
      </w:r>
    </w:p>
    <w:p w14:paraId="0B99D8FE" w14:textId="1EE68487" w:rsidR="0079598A" w:rsidRDefault="0079598A" w:rsidP="0079598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191/</w:t>
      </w:r>
      <w:r w:rsidRPr="0041382A">
        <w:rPr>
          <w:rFonts w:cs="Arial"/>
          <w:b/>
          <w:bCs/>
          <w:smallCaps/>
          <w:color w:val="0000FF"/>
          <w:szCs w:val="18"/>
          <w:u w:val="single"/>
        </w:rPr>
        <w:t xml:space="preserve"> </w:t>
      </w:r>
      <w:r>
        <w:rPr>
          <w:rFonts w:cs="Arial"/>
          <w:b/>
          <w:bCs/>
          <w:smallCaps/>
          <w:color w:val="0000FF"/>
          <w:szCs w:val="18"/>
          <w:u w:val="single"/>
        </w:rPr>
        <w:t>25 februarie 2022</w:t>
      </w:r>
    </w:p>
    <w:p w14:paraId="28264F02" w14:textId="295DC5C7" w:rsidR="0079598A" w:rsidRPr="00420998" w:rsidRDefault="0079598A" w:rsidP="0079598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476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000B64D0" w:rsidRPr="000B64D0">
        <w:rPr>
          <w:rFonts w:ascii="Verdana" w:hAnsi="Verdana" w:cs="Arial"/>
          <w:b/>
          <w:color w:val="153E7E"/>
          <w:sz w:val="18"/>
          <w:szCs w:val="18"/>
          <w:lang w:val="ro-RO"/>
        </w:rPr>
        <w:t>Ministerul Sănătății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79598A">
        <w:rPr>
          <w:rFonts w:ascii="Verdana" w:hAnsi="Verdana"/>
          <w:sz w:val="18"/>
          <w:szCs w:val="18"/>
          <w:lang w:val="ro-RO"/>
        </w:rPr>
        <w:t>Ordin pentru modificarea anexei nr. 2 la Ordinul ministrului sănătății nr. 434/2021 privind aprobarea Planului de măsuri pentru organizarea spitalelor și a unităților de dializă în contextul pandemiei de COVID-19 și a listei spitalelor și unităților de dializă care asigură asistența medicală pentru pacienți, cazuri confirmate și suspecte de COVID-19, conform clasificării spitalelor în 3 niveluri de competență</w:t>
      </w:r>
    </w:p>
    <w:p w14:paraId="4F341811" w14:textId="017F67E5" w:rsidR="0079598A" w:rsidRDefault="000B64D0" w:rsidP="00D10FBA">
      <w:pPr>
        <w:pStyle w:val="ListParagraph"/>
        <w:numPr>
          <w:ilvl w:val="0"/>
          <w:numId w:val="3"/>
        </w:numPr>
        <w:spacing w:before="120"/>
        <w:ind w:left="0" w:right="198"/>
        <w:jc w:val="both"/>
        <w:rPr>
          <w:rFonts w:ascii="Verdana" w:hAnsi="Verdana"/>
          <w:sz w:val="18"/>
          <w:szCs w:val="18"/>
        </w:rPr>
      </w:pPr>
      <w:r w:rsidRPr="000B64D0">
        <w:rPr>
          <w:rFonts w:ascii="Verdana" w:hAnsi="Verdana"/>
          <w:b/>
          <w:sz w:val="18"/>
          <w:szCs w:val="18"/>
        </w:rPr>
        <w:t>9</w:t>
      </w:r>
      <w:r>
        <w:rPr>
          <w:rFonts w:ascii="Verdana" w:hAnsi="Verdana"/>
          <w:sz w:val="18"/>
          <w:szCs w:val="18"/>
        </w:rPr>
        <w:t xml:space="preserve"> - </w:t>
      </w:r>
      <w:r w:rsidRPr="000B64D0">
        <w:rPr>
          <w:rFonts w:ascii="Verdana" w:hAnsi="Verdana" w:cs="Arial"/>
          <w:b/>
          <w:color w:val="153E7E"/>
          <w:sz w:val="18"/>
          <w:szCs w:val="18"/>
          <w:lang w:val="ro-RO"/>
        </w:rPr>
        <w:t>Comitetul Național pentru Situații de Urgență</w:t>
      </w:r>
      <w:r>
        <w:rPr>
          <w:rFonts w:ascii="Verdana" w:hAnsi="Verdana"/>
          <w:sz w:val="18"/>
          <w:szCs w:val="18"/>
        </w:rPr>
        <w:t xml:space="preserve"> - </w:t>
      </w:r>
      <w:r w:rsidRPr="000B64D0">
        <w:rPr>
          <w:rFonts w:ascii="Verdana" w:hAnsi="Verdana"/>
          <w:sz w:val="18"/>
          <w:szCs w:val="18"/>
          <w:lang w:val="ro-RO"/>
        </w:rPr>
        <w:t>Hotărâre pentru completarea Hotărârii Comitetului Național pentru Situații de Urgență nr. 6/2022 privind procedura de aprobare a regulilor de aplicare a măsurii carantinei asupra persoanelor</w:t>
      </w:r>
    </w:p>
    <w:p w14:paraId="7465D7AB" w14:textId="77777777" w:rsidR="006F0409" w:rsidRDefault="006F0409" w:rsidP="00B2000B">
      <w:pPr>
        <w:pStyle w:val="Stilsursa"/>
        <w:spacing w:before="0"/>
        <w:ind w:right="198"/>
      </w:pPr>
    </w:p>
    <w:p w14:paraId="29F128EA" w14:textId="4C806314" w:rsidR="00DB1642" w:rsidRPr="00F50627" w:rsidRDefault="00954073" w:rsidP="00B2000B">
      <w:pPr>
        <w:pStyle w:val="Stilsursa"/>
        <w:spacing w:before="0"/>
        <w:ind w:right="198"/>
        <w:rPr>
          <w:szCs w:val="14"/>
        </w:rPr>
      </w:pPr>
      <w:r w:rsidRPr="00954073">
        <w:t xml:space="preserve"> </w:t>
      </w:r>
      <w:r w:rsidR="002F743E"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360FBB0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0" w:name="_Toc466963739"/>
      <w:bookmarkStart w:id="71" w:name="_Toc466979916"/>
      <w:bookmarkStart w:id="72" w:name="_Toc471563015"/>
      <w:bookmarkStart w:id="73" w:name="_Toc471731292"/>
      <w:bookmarkStart w:id="74" w:name="_Toc472338683"/>
      <w:bookmarkStart w:id="75" w:name="_Toc473218180"/>
      <w:bookmarkStart w:id="76" w:name="_Toc474059051"/>
      <w:bookmarkStart w:id="77" w:name="_Toc474495557"/>
      <w:bookmarkStart w:id="78" w:name="_Toc475352759"/>
      <w:bookmarkStart w:id="79" w:name="_Toc476739894"/>
      <w:bookmarkStart w:id="80" w:name="_Toc477177296"/>
      <w:bookmarkStart w:id="81" w:name="_Toc477777062"/>
      <w:bookmarkStart w:id="82" w:name="_Toc478389420"/>
      <w:bookmarkStart w:id="83" w:name="_Toc479606758"/>
      <w:bookmarkStart w:id="84" w:name="_Toc486251855"/>
      <w:bookmarkStart w:id="85" w:name="_Toc486331070"/>
      <w:bookmarkStart w:id="86" w:name="_Toc486333440"/>
      <w:bookmarkStart w:id="87" w:name="_Toc492996408"/>
      <w:bookmarkStart w:id="88" w:name="_Toc503284367"/>
      <w:bookmarkStart w:id="89" w:name="_Toc504038454"/>
      <w:bookmarkStart w:id="90" w:name="_Toc534654854"/>
      <w:bookmarkStart w:id="91" w:name="_Toc534655685"/>
      <w:bookmarkStart w:id="92" w:name="_Toc534656759"/>
      <w:bookmarkStart w:id="93" w:name="_Toc534657364"/>
      <w:bookmarkStart w:id="94" w:name="_Toc534657904"/>
      <w:bookmarkStart w:id="95" w:name="_Toc534658319"/>
      <w:bookmarkStart w:id="96" w:name="_Toc534658840"/>
      <w:bookmarkStart w:id="97" w:name="_Toc534659385"/>
      <w:bookmarkStart w:id="98" w:name="_Toc534659920"/>
      <w:bookmarkStart w:id="99" w:name="_Toc534660444"/>
      <w:bookmarkStart w:id="100" w:name="_Toc534661788"/>
      <w:bookmarkStart w:id="101" w:name="_Toc534662923"/>
      <w:bookmarkStart w:id="102" w:name="_Toc534663922"/>
      <w:bookmarkStart w:id="103" w:name="_Toc535315378"/>
      <w:bookmarkStart w:id="104" w:name="_Toc535315448"/>
      <w:bookmarkStart w:id="105" w:name="_Toc536193153"/>
      <w:bookmarkStart w:id="106" w:name="_Toc2601511"/>
      <w:bookmarkStart w:id="107" w:name="_Toc3205609"/>
      <w:bookmarkStart w:id="108" w:name="_Toc4760790"/>
      <w:bookmarkStart w:id="109" w:name="_Toc5634690"/>
      <w:bookmarkStart w:id="110" w:name="_Toc6411932"/>
      <w:bookmarkStart w:id="111" w:name="_Toc7101129"/>
      <w:bookmarkStart w:id="112" w:name="_Toc8805104"/>
      <w:bookmarkStart w:id="113" w:name="_Toc8805134"/>
      <w:bookmarkStart w:id="114" w:name="_Toc9266394"/>
      <w:bookmarkStart w:id="115" w:name="_Toc12617698"/>
      <w:bookmarkStart w:id="116"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5271948" w14:textId="7EC178B0" w:rsidR="00D91995" w:rsidRDefault="00D91995" w:rsidP="00B2000B">
      <w:pPr>
        <w:pStyle w:val="separatorcapitole"/>
        <w:spacing w:after="0"/>
        <w:ind w:right="198"/>
      </w:pPr>
      <w:bookmarkStart w:id="117" w:name="_Hlk94011750"/>
      <w:r w:rsidRPr="00F50627">
        <w:sym w:font="Wingdings" w:char="F07B"/>
      </w:r>
      <w:r w:rsidRPr="00F50627">
        <w:sym w:font="Wingdings" w:char="F07B"/>
      </w:r>
      <w:r w:rsidRPr="00F50627">
        <w:sym w:font="Wingdings" w:char="F07B"/>
      </w:r>
    </w:p>
    <w:p w14:paraId="0C0CEE28" w14:textId="595FA757" w:rsidR="00F56410" w:rsidRDefault="00F56410" w:rsidP="00B2000B">
      <w:pPr>
        <w:pStyle w:val="InfoEuropeana"/>
        <w:spacing w:before="0"/>
        <w:ind w:right="198"/>
      </w:pPr>
      <w:bookmarkStart w:id="118" w:name="_Toc96929046"/>
      <w:bookmarkEnd w:id="117"/>
      <w:r>
        <w:t>C</w:t>
      </w:r>
      <w:r w:rsidR="009E2EE4">
        <w:t>o</w:t>
      </w:r>
      <w:r>
        <w:t>municate de presă ale Guvernului României</w:t>
      </w:r>
      <w:bookmarkEnd w:id="118"/>
    </w:p>
    <w:p w14:paraId="2CF72833" w14:textId="77777777" w:rsidR="002F7920" w:rsidRPr="00081FDD" w:rsidRDefault="002F7920" w:rsidP="00081FDD">
      <w:pPr>
        <w:pStyle w:val="TitluArticolinINFOUE"/>
        <w:rPr>
          <w:lang w:eastAsia="ro-RO"/>
        </w:rPr>
      </w:pPr>
      <w:bookmarkStart w:id="119" w:name="_Toc96929047"/>
      <w:r w:rsidRPr="00081FDD">
        <w:t>Întâlnirea prim-ministrului Nicolae-Ionel Ciucă cu reprezentanții Camerei de Comerț Italiană pentru România</w:t>
      </w:r>
      <w:bookmarkEnd w:id="119"/>
    </w:p>
    <w:p w14:paraId="368CB650" w14:textId="77777777" w:rsidR="002F7920" w:rsidRPr="00081FDD" w:rsidRDefault="002F7920"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Nicolae-Ionel Ciucă s-a întâlnit, astăzi, la Palatul Victoria, cu reprezentanții Camerei de Comerț Italiană pentru România. Scopul acestei întâlniri a fost întărirea relațiilor bilaterale și reafirmarea cooperării dintre cele două state.</w:t>
      </w:r>
    </w:p>
    <w:p w14:paraId="4F3AE8EA" w14:textId="77777777" w:rsidR="002F7920" w:rsidRPr="00081FDD" w:rsidRDefault="002F7920"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Întâlnirea a fost deschisă de Excelența Sa Alfredo Durante Mangoni, ambasadorul Italiei în România, care a felicitat eforturile făcute de Guvernul României pentru  modernizarea și digitalizarea statului, reafirmând suportul Camerei de Comerț Italiană pentru România și a întregii comunități italiene în susținerea acestui proces.</w:t>
      </w:r>
    </w:p>
    <w:p w14:paraId="22062849" w14:textId="77777777" w:rsidR="002F7920" w:rsidRPr="00081FDD" w:rsidRDefault="002F7920"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Nicolae-Ionel Ciucă a remarcat importanța investițiilor italiene pe piața din România și necesitatea extinderii și consolidării relațiilor economice dintre România și Italia, în special în domeniul educației, sănătății, inovării și al digitalizării. Totodată, premierul a prezentat investițiile masive pe care Guvernul le pregătește, atât din bugetul național, cât și din fondurile europene - PNRR și Cadrul Financiar Multianual, oportunități de modernizare pentru următorii ani.</w:t>
      </w:r>
    </w:p>
    <w:p w14:paraId="614432BD" w14:textId="77777777" w:rsidR="002F7920" w:rsidRPr="00081FDD" w:rsidRDefault="002F7920"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Din punctul de vedere al investițiilor, Italia se clasează în top-ul investitorilor în România, cu peste 1.200 de companii active. Guvernul salută investițiile italiene și îi asigură pe investitorii și pe oficialii italieni de tot suportul necesar pentru dezvoltarea pieței de business din România.</w:t>
      </w:r>
    </w:p>
    <w:p w14:paraId="105B5BAC" w14:textId="77777777" w:rsidR="002F7920" w:rsidRPr="00081FDD" w:rsidRDefault="002F7920"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Oficialii români și cei italieni au subliniat nevoia de a susține ritmul investițiilor, într-un format atractiv pentru mediul de afaceri. Interesul principal exprimat de ambele părți a fost dezvoltarea sistemelor de energie regenerabilă și atragerea de noi investiții în domeniul energiei. Prim-ministrul României i-a asigurat pe reprezentanții Camerei de Comerț Italiană pentru România de deschiderea Guvernului pentru investiții majore în domeniul energiei.</w:t>
      </w:r>
    </w:p>
    <w:p w14:paraId="1BD89540" w14:textId="77777777" w:rsidR="002F7920" w:rsidRPr="00081FDD" w:rsidRDefault="002F7920"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 xml:space="preserve">Totodată, a fost transmis un mesaj clar de susținere a unui cadru transparent și competitiv pe piața din România, fiind anunțată implementarea facturii electronice, parte a procesului de digitalizare a ANAF, până </w:t>
      </w:r>
      <w:r w:rsidRPr="00081FDD">
        <w:rPr>
          <w:rFonts w:ascii="Verdana" w:hAnsi="Verdana"/>
          <w:color w:val="3C3C3C"/>
          <w:sz w:val="18"/>
          <w:szCs w:val="18"/>
        </w:rPr>
        <w:lastRenderedPageBreak/>
        <w:t>la finalul primului semestru – începutul semestrului doi. De asemenea, strategia fiscală pentru următorul an va fi anunțată până la sfârșitul lunii mai a acestui an.</w:t>
      </w:r>
    </w:p>
    <w:p w14:paraId="5EE281D4" w14:textId="77777777" w:rsidR="002F7920" w:rsidRPr="00081FDD" w:rsidRDefault="002F7920"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Din partea Guvernului României, la întâlnire au participat prim-ministrul României, Nicolae-Ionel Ciucă, Mihai Macaveiu, secretar de stat în Ministerul Economiei; George Niculescu, secretar de stat în Ministerul Energiei;  Lucian Heiuș, secretar de stat în Ministerul Finanțelor;  Dan Cărbunaru, purtător de cuvânt al Guvernului; George Agafiței, consilier de stat; Adeline Dan, secretar de stat în cadrul Cancelariei Prim-ministrului.</w:t>
      </w:r>
    </w:p>
    <w:p w14:paraId="329B8A18" w14:textId="77777777" w:rsidR="002F7920" w:rsidRPr="00081FDD" w:rsidRDefault="002F7920"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Din partea Camerei de Comerț Italiană pentru România, la întâlnire au participat în format fizic Excelența sa Alfredo Durante Mangoni, ambasadorul Italiei în România, Roberto Musneci, președinte al Camerei de Comerț Italiană pentru România, Giovanni Pometti, secretar general al Camerei de Comerț Italiană pentru România, Pasquale Silvestro, avocat și partener al Tonucci &amp; Partners Law Firm și vicepreședinte al Camerei de Comerț Italiană pentru România, Alessandro Masotti, Head of International Clients Department and Cross Border Business Management la UniCredit Bank România – Membru în Consiliul Camerei de Comerț Italiană pentru România, Giovanni Di Folco, președinte al Techno Engineering &amp; Associates Group, membru în Consiliul Camerei de Comerț Italiană pentru România, Federico Cianciosi, manager de țară la Prysmian Group, Alice Rubini Director al Biroului de Comerț al Ambasadei Italiei în România, Adrian Marin, CEO Generali Romania, Nicola Longodente CEO Unicredit Bank Romania, Alessio Menegazzo Enel Romania.</w:t>
      </w:r>
    </w:p>
    <w:p w14:paraId="048405DB" w14:textId="614C7306" w:rsidR="002F7920" w:rsidRPr="00081FDD" w:rsidRDefault="002F7920" w:rsidP="00081FDD">
      <w:pPr>
        <w:pStyle w:val="separatorarticole"/>
      </w:pPr>
      <w:r w:rsidRPr="00081FDD">
        <w:t>*</w:t>
      </w:r>
    </w:p>
    <w:p w14:paraId="49665A66" w14:textId="77777777" w:rsidR="008160CE" w:rsidRPr="00081FDD" w:rsidRDefault="008160CE" w:rsidP="00081FDD">
      <w:pPr>
        <w:pStyle w:val="TitluArticolinINFOUE"/>
        <w:rPr>
          <w:lang w:eastAsia="ro-RO"/>
        </w:rPr>
      </w:pPr>
      <w:bookmarkStart w:id="120" w:name="_Toc96929048"/>
      <w:r w:rsidRPr="00081FDD">
        <w:t>Măsuri guvernamentale pentru gestionarea efectelor creșterii prețurilor la energie și gaze naturale</w:t>
      </w:r>
      <w:bookmarkEnd w:id="120"/>
    </w:p>
    <w:p w14:paraId="770BE056" w14:textId="55EE1CA6"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Nicolae-Ionel Ciucă a participat astăzi la o întâlnire pe tema gestionării efectelor creșterii prețurilor la energie și gaze naturale, alături de miniștrii Energiei, Virgil Popescu, Finanțelor, Adrian Câciu, Muncii, Marius Budăi, Economiei, Florin Spătaru, Antreprenoriatului, Constantin Cadariu, Mediului, Tanczos Barna, secretarul general al Guvernului, Marian Neacșu, șeful Cancelariei Prim-ministrului, Mircea Abrudean, și consilierul de stat George Agafiței.</w:t>
      </w:r>
    </w:p>
    <w:p w14:paraId="1DAA494B"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În cadrul întâlnirii, au fost analizate efectele măsurilor în vigoare și pachetele de sprijin pentru toate categoriile de consumatori pentru perioada următoare.</w:t>
      </w:r>
    </w:p>
    <w:p w14:paraId="28CA7413"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Pentru a accesa măsurile deja active, beneficiarii mecanismului de plafonare și compensare a facturilor de furnizare a energiei electrice din categoriile menționate de Legea 259/2021, art. 1, alineatele c,d,e,f, pot solicita în continuare, fiind considerați a fi încă în termen, recalcularea facturilor pentru furnizarea energiei electrice și a gazelor naturale începând cu luna noiembrie 2021:</w:t>
      </w:r>
    </w:p>
    <w:p w14:paraId="79D3CEB9"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Ø microîntreprinderi, persoane fizice autorizate, întreprinderi individuale, întreprinderi familiale, organizate potrivit legii;</w:t>
      </w:r>
    </w:p>
    <w:p w14:paraId="4DAE7688"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Ø spitale publice şi private, definite conform Legii nr. 95/2006 privind reforma în domeniul sănătăţii, republicată, cu modificările şi completările ulterioare, unităţi de învăţământ publice şi private, definite conform Legii educaţiei naţionale nr. 1/2011, cu modificările şi completările ulterioare, precum şi creşe;</w:t>
      </w:r>
    </w:p>
    <w:p w14:paraId="39062BD4"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Ø organizaţii neguvernamentale reglementate potrivit legii, precum şi unităţile de cult, astfel cum sunt reglementate de Legea nr. 489/2006 privind libertatea religioasă şi regimul general al cultelor, republicată;</w:t>
      </w:r>
    </w:p>
    <w:p w14:paraId="3CCC377C"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Ø furnizori publici şi privaţi de servicii sociale prevăzute în Nomenclatorul serviciilor sociale, aprobat prin Hotărârea Guvernului nr. 867/2015 pentru aprobarea Nomenclatorului serviciilor sociale, precum şi a regulamentelor-cadru de organizare şi funcţionare a serviciilor sociale, cu modificările şi completările ulterioare.</w:t>
      </w:r>
    </w:p>
    <w:p w14:paraId="0179773A"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Ø instituții de cultură</w:t>
      </w:r>
    </w:p>
    <w:p w14:paraId="2BDFA41E"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Ø unități  și instituții de învățământ</w:t>
      </w:r>
    </w:p>
    <w:p w14:paraId="3DA7E7A5"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Totodată, Guvernul a demarat plățile către furnizorii de gaze și energie electrică, conform mecanismului de compensare stabilit de cadrul legal.</w:t>
      </w:r>
    </w:p>
    <w:p w14:paraId="6D6E74A0"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Aceste plăți vor continua pe toată durata de implementare a măsurilor de protejare a populației și economiei de efectele creșterii prețurilor la energie și gaze naturale.</w:t>
      </w:r>
    </w:p>
    <w:p w14:paraId="417D11D1"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lastRenderedPageBreak/>
        <w:t>Astfel, Ministerul Energiei a efectuat plăți în valoare de peste 5 milioane lei furnizorilor care au livrat gaze naturale și energie electrică pentru IMM-urile din România.</w:t>
      </w:r>
    </w:p>
    <w:p w14:paraId="762143C8"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Pe de altă parte, Ministerul Muncii a început, astăzi, decontările către furnizorii consumatorilor casnici, fiind dispuse plăți în valoare de 3,5 milioane lei.</w:t>
      </w:r>
    </w:p>
    <w:p w14:paraId="75324D15"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Setul de măsuri discutat astăzi, care va asigura în continuare protecție tuturor categoriilor de consumatori după 1 aprilie, va fi prezentat și analizat în ședința de mâine a coaliției de guvernare.</w:t>
      </w:r>
    </w:p>
    <w:p w14:paraId="75BFFCA6" w14:textId="06869BA1" w:rsidR="002F7920" w:rsidRPr="00081FDD" w:rsidRDefault="008160CE" w:rsidP="00081FDD">
      <w:pPr>
        <w:pStyle w:val="separatorarticole"/>
      </w:pPr>
      <w:r w:rsidRPr="00081FDD">
        <w:t>*</w:t>
      </w:r>
    </w:p>
    <w:p w14:paraId="5C0FC20C" w14:textId="77777777" w:rsidR="008160CE" w:rsidRPr="00081FDD" w:rsidRDefault="008160CE" w:rsidP="00081FDD">
      <w:pPr>
        <w:pStyle w:val="TitluArticolinINFOUE"/>
        <w:rPr>
          <w:lang w:eastAsia="ro-RO"/>
        </w:rPr>
      </w:pPr>
      <w:bookmarkStart w:id="121" w:name="_Toc96929049"/>
      <w:r w:rsidRPr="00081FDD">
        <w:t>Întâlnirea prim-ministrului Nicolae-Ionel Ciucă cu directorul Agenției Europene pentru Cooperarea Reglementatorilor din domeniul Energiei</w:t>
      </w:r>
      <w:bookmarkEnd w:id="121"/>
    </w:p>
    <w:p w14:paraId="46F43B8F"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Premierul României, Nicolae-Ionel Ciucă, s-a întâlnit astăzi cu directorul Agenției Europene pentru Cooperarea Reglementatorilor din domeniul Energiei, Christian Zinglersen.</w:t>
      </w:r>
    </w:p>
    <w:p w14:paraId="229DB165"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Cu această ocazie, a fost analizat contextul actualei crize în domeniul energiei, semnificativă atât la nivel național, cât și la nivelul UE. Cei doi oficiali au subliniat nevoia de a gestiona impactul crizei atât la nivelul sectoarelor economice, cât și la nivelul  cetățenilor, evaluând factorii principali care influențează creșterea prețurilor pe piața energiei și a gazelor naturale din UE.</w:t>
      </w:r>
    </w:p>
    <w:p w14:paraId="16AB3E5E"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Investițiile în energia regenerabilă și dezvoltarea sectorului energetic au fost principalele teme de discuție. Prim-ministrul a reliefat importanța pe care  Guvernul o acordă  investițiilor majore în domeniul energiei și a salutat anunțul Comisiei Europene privind includerea gazului natural și a energiei nucleare în categoria resurselor ce pot fi utilizate în perioada de tranziție.  Participanții au arătat că statele membre ale UE au nevoie de solidaritate în această perioadă, pentru a-și acorda sprijin în procesul de  aprovizionare cu gaze naturale sau energie electrică.</w:t>
      </w:r>
    </w:p>
    <w:p w14:paraId="42846B59"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Style w:val="Emphasis"/>
          <w:color w:val="3C3C3C"/>
          <w:bdr w:val="none" w:sz="0" w:space="0" w:color="auto" w:frame="1"/>
        </w:rPr>
        <w:t>“Avem nevoie de o abordare echilibrată care să asigure atât protejarea populației, cât și a economiei, precum și de implementarea unor măsuri care să reducă presiunea prețurilor într-un mod sustenabil. În acest sens, vom investi masiv, folosind resurse din bugetul național și cel oferit prin fondurile UE în diversificarea resurselor de energie, dezvoltarea capacităților de producție a energiei regenerabile și sprijinirea mediului de afaceri autohton în  implementarea unor astfel de proiecte. Pentru Guvern, este prioritară intervenția pentru a sprijini atât consumatorii casnici, precum și mediul de afaceri, respectând regulile pieței, conform cadrului normativ european”,</w:t>
      </w:r>
      <w:r w:rsidRPr="00081FDD">
        <w:rPr>
          <w:rFonts w:ascii="Verdana" w:hAnsi="Verdana"/>
          <w:color w:val="3C3C3C"/>
          <w:sz w:val="18"/>
          <w:szCs w:val="18"/>
        </w:rPr>
        <w:t> a asigurat premierul Nicolae-Ionel Ciucă.</w:t>
      </w:r>
    </w:p>
    <w:p w14:paraId="6D170EF2"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Din partea Guvernului au participat premierul Nicolae-Ionel Ciucă, secretarul general al Guvernului, Marian Neacșu, purtătorul de cuvânt al Guvernului, Dan Cărbunaru, consilierul de stat în Cancelaria Prim-ministrului,  George Agafiței, vicepreședintele ANRE, Mircea Man, și președintele Consiliul Concurenței, Bodgan Marius Chirițoiu.</w:t>
      </w:r>
    </w:p>
    <w:p w14:paraId="53D7528C" w14:textId="25EACA5F" w:rsidR="008160CE" w:rsidRPr="00081FDD" w:rsidRDefault="008160CE" w:rsidP="00081FDD">
      <w:pPr>
        <w:pStyle w:val="separatorarticole"/>
      </w:pPr>
      <w:r w:rsidRPr="00081FDD">
        <w:t>*</w:t>
      </w:r>
    </w:p>
    <w:p w14:paraId="6CFB3A7C" w14:textId="77777777" w:rsidR="008160CE" w:rsidRPr="00081FDD" w:rsidRDefault="008160CE" w:rsidP="00081FDD">
      <w:pPr>
        <w:pStyle w:val="TitluArticolinINFOUE"/>
        <w:rPr>
          <w:lang w:eastAsia="ro-RO"/>
        </w:rPr>
      </w:pPr>
      <w:bookmarkStart w:id="122" w:name="_Toc96929050"/>
      <w:r w:rsidRPr="00081FDD">
        <w:t>Întrevederea premierului Nicolae-Ionel Ciucă cu delegația Consiliului de afaceri americano–român (AMRO)</w:t>
      </w:r>
      <w:bookmarkEnd w:id="122"/>
    </w:p>
    <w:p w14:paraId="720BAA1B"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Nicolae-Ionel Ciucă s-a întâlnit, astăzi, cu reprezentanți ai companiilor americane din cadrul American-Romanian Business Council.</w:t>
      </w:r>
    </w:p>
    <w:p w14:paraId="4489CE03"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Reuniunea se înscrie în cadrul eforturilor guvernamentale susținute pentru a atrage și dezvolta investiții străine de amploare în România.  Dialogul, care a marcat cea de-a zecea aniversare AMRO, a beneficiat de cea mai numeroasă delegație de companii americane sosite în România sub egida AMRO.</w:t>
      </w:r>
    </w:p>
    <w:p w14:paraId="75B11AD5"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“Suntem interesați să creștem nivelul relațiilor economice româno-americane, oferind oportunități de dezvoltare și investiții. Evoluția situației de securitate și contextul geopolitic oferă României atractivitate inclusiv din perspectiva relocării unor afaceri derulate în zona Asia-Pacific”, a declarat prim-ministrul Nicolae-Ionel Ciucă.</w:t>
      </w:r>
    </w:p>
    <w:p w14:paraId="265F641A"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Participanții la întâlnire au subliniat importanța investițiilor generate în cadrul Parteneriatului Strategic Româno-American pentru crearea de oportunități economice, prosperitate și locuri de muncă, în domenii precum  digitalizare, medicină, energie, apărare, cyber, financiar bancar, exploatarea resurselor naturale.</w:t>
      </w:r>
    </w:p>
    <w:p w14:paraId="349003B3"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lastRenderedPageBreak/>
        <w:t>Consolidarea  prezenței investitorilor americani și dezvoltarea afacerilor pot genera, la rândul lor, oportunități pentru firmele românești de parteneriat atât în România , dar și de a pătrunde pe piața din SUA.</w:t>
      </w:r>
    </w:p>
    <w:p w14:paraId="13EAC418"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Premierul Ciucă a menționat beneficiile oferite de noile tehnologii, energia nucleară și resurse regenerabile, pentru gestionarea provocărilor generate de creșterea prețurilor la energie și gaze naturale. În privința proiectelor importante derulate în domeniul apărării, prim-ministrul a arătat că este nevoie de capabilități de menținere și întreținere a echipamentelor achiziționate din SUA, fiind necesară consolidarea prezenței acestora în România.</w:t>
      </w:r>
    </w:p>
    <w:p w14:paraId="30718CEF"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a mulțumit reprezentanților mediului de afaceri american și ai SUA pentru sprijinul oferit României în obținerea invitației oficiale de aderare la Organizația de Cooperare și Dezvoltare Economică - OCDE, care reunește țări care dețin 90 la sută din investițiile străine directe la nivel mondial.</w:t>
      </w:r>
    </w:p>
    <w:p w14:paraId="0F3879DB"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“Avem nevoie de prezența dumneavoastră aici. La întâlnirea cu reprezentanții Camerei de Comerț Americane în România am lansat provocarea de a afla care sunt intențiile de a investi ale oamenilor de afaceri americani. Mă bucur să văd, azi, răspunsul la această întrebare, prin prezența dumneavoastră, care este cea mai bună și concretă dovadă a interesului american de a investi in România. Reformele pe care le facem pentru a atinge standardele OCDE vor transforma țara noastră într-o destinație și mai atractivă pentru investitori, ceea ce va accelera ritmul de modernizare și dezvoltare pe care cetățenii noștri îl așteaptă”, a mai spus premierul Nicolae-Ionel Ciucă.</w:t>
      </w:r>
    </w:p>
    <w:p w14:paraId="691AE377" w14:textId="40696C22" w:rsidR="008160CE" w:rsidRPr="00081FDD" w:rsidRDefault="008160CE" w:rsidP="00081FDD">
      <w:pPr>
        <w:pStyle w:val="separatorarticole"/>
      </w:pPr>
      <w:r w:rsidRPr="00081FDD">
        <w:t>*</w:t>
      </w:r>
    </w:p>
    <w:p w14:paraId="5FD7E553" w14:textId="77777777" w:rsidR="008160CE" w:rsidRPr="00081FDD" w:rsidRDefault="008160CE" w:rsidP="00081FDD">
      <w:pPr>
        <w:pStyle w:val="TitluArticolinINFOUE"/>
        <w:rPr>
          <w:lang w:eastAsia="ro-RO"/>
        </w:rPr>
      </w:pPr>
      <w:bookmarkStart w:id="123" w:name="_Toc96929051"/>
      <w:r w:rsidRPr="00081FDD">
        <w:t>Convorbirea telefonică dintre prim-ministrul Nicolae-Ionel Ciucă și prim-ministrul Statului Israel, Naftali Bennett</w:t>
      </w:r>
      <w:bookmarkEnd w:id="123"/>
    </w:p>
    <w:p w14:paraId="35440F68"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României, Nicolae-Ionel Ciucă, a avut o discuție telefonică de curtoazie cu prim-ministrul Statului Israel, Naftali Bennet. Cei doi șefi de guverne au abordat o serie de elemente din agenda de cooperare bilaterală, precum lupta împotriva pandemiei, întărirea cooperării economice și comerciale și securitatea regională. Pentru România, Statul Israel e cel mai important partener comercial din Orientul Mijlociu.</w:t>
      </w:r>
    </w:p>
    <w:p w14:paraId="0F0FE5D8"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Premierul Nicolae-Ionel Ciucă a mulțumit pentru sprijinul oferit României de către Statul Israel în perioada de vârf a pandemiei, când a oferit 40 de concentratoare de oxigen. De asemenea, au fost subliniate relațiile foarte bune între cele două state și guverne și dorința de a marca prin continuitate această relație și în perioada următoare. Prim-ministrul român a anunțat întreaga deschidere și sprijinul în chestiunile legate de situația dificilă din Estul Ucrainei, ca și față de toate problemele sau clarificările de care ar avea nevoie partea israeliană pe acest subiect.</w:t>
      </w:r>
    </w:p>
    <w:p w14:paraId="6FF159DF"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israelian, Naftali Bennett, a subliniat importanța cooperării în domeniul securității, al sănătății dar și în domeniul cibernetic, acolo unde partea israeliană are un nivel tehnologic ridicat. Înaltul oficial israelian a evidențiat, în cadrul convorbirii cu premierul român, deschiderea totală față de România. Prim-ministrul israelian a arătat că dorește ca piața israeliană să beneficieze de cât mai multe produse românești. Totodată, a menționat deschiderea pentru a întări componenta turistică în România,  afirmând că a vizitat țara noastră alături de familie.</w:t>
      </w:r>
    </w:p>
    <w:p w14:paraId="1911A804"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În final, partea israeliană l-a invitat pe premierul român într-o vizită oficială în Israel, discuția făcând referire și la planificarea unei reuniuni a celor două guverne, care ar urma să fie organizată în perioada următoare.</w:t>
      </w:r>
    </w:p>
    <w:p w14:paraId="47952997" w14:textId="4B2FD8BC" w:rsidR="008160CE" w:rsidRPr="00081FDD" w:rsidRDefault="008160CE" w:rsidP="00081FDD">
      <w:pPr>
        <w:pStyle w:val="separatorarticole"/>
      </w:pPr>
      <w:r w:rsidRPr="00081FDD">
        <w:t>*</w:t>
      </w:r>
    </w:p>
    <w:p w14:paraId="41997C8D" w14:textId="77777777" w:rsidR="008160CE" w:rsidRPr="00081FDD" w:rsidRDefault="008160CE" w:rsidP="00081FDD">
      <w:pPr>
        <w:pStyle w:val="TitluArticolinINFOUE"/>
        <w:rPr>
          <w:lang w:eastAsia="ro-RO"/>
        </w:rPr>
      </w:pPr>
      <w:bookmarkStart w:id="124" w:name="_Toc96929052"/>
      <w:r w:rsidRPr="00081FDD">
        <w:t>Condamnarea de către prim-ministrul României, Nicolae-Ionel Ciucă, a agresiunii Federației Ruse împotriva Ucrainei</w:t>
      </w:r>
      <w:bookmarkEnd w:id="124"/>
    </w:p>
    <w:p w14:paraId="57926FA1"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Nicolae-Ionel Ciucă condamnă cu hotărâre invadarea de către Federația Rusă a teritoriului Ucrainei, care reprezintă un act ilegal de agresiune, contrar principiilor dreptului internațional, consacrate de Carta ONU, Actul Final de la Helsinki, Carta de la Paris pentru o Nouă Europă, Carta Securității Europene și celelalte documente care definesc actuala arhitectură europeană de securitate.</w:t>
      </w:r>
    </w:p>
    <w:p w14:paraId="27D15413"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În numele Guvernului României, premierul Nicolae Ciucă exprimă solidaritatea cu Guvernul Ucrainei și reiterează susținerea pentru suveranitatea și integritatea  teritorială ale statului vecin.</w:t>
      </w:r>
    </w:p>
    <w:p w14:paraId="2493158D"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lastRenderedPageBreak/>
        <w:t>Acțiunea Federației Rusiei nu este doar o încălcare gravă a principiilor  dreptului internațional, ci reprezintă și o încălcare flagrantă a rolului său de membru permanent al Consiliului de Securitate, forul ONU ce acționează ca garant al păcii și securității în lume, precum și a angajamentelor asumate ca membru al comunității internaționale. Recurgerea la forță nu poate fi justificată în nicio altă circumstanță decât cele explicit și limitativ menționate în Carta ONU.</w:t>
      </w:r>
    </w:p>
    <w:p w14:paraId="39AE81FD"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România este în contact permanent cu aliații și partenerii săi, atât în cadrul NATO, UE și al altor formate, precum și la nivel bilateral, și este pregătită să ia toate măsurile care se impun ca reacție la această agresiune armată, pentru protejarea securității întregii regiuni. De asemenea, va fi prioritară protejarea cetățenilor români aflați pe teritoriul ucrainean și asigurarea drepturilor și intereselor membrilor comunității române din Ucraina.</w:t>
      </w:r>
    </w:p>
    <w:p w14:paraId="76BD907D"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Nicolae-Ionel Ciucă adresează tuturor cetățenilor României un apel la calm și subliniază că România, ca stat membru NATO, se bucură de toate garanțiile de securitate și de întreaga solidaritate aliată care decurg din acest statut.</w:t>
      </w:r>
    </w:p>
    <w:p w14:paraId="615CF37C"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Guvernul României și instituțiile cu atribuții în domeniu vor aplica, la nivel interinstituțional, toate măsurile pentru a gestiona în mod adecvat implicațiile acestei situații, pe toate palierele – inclusiv din punctul de vedere al eventualelor efecte economice, energetice sau din perspectiva migrației necontrolate.</w:t>
      </w:r>
    </w:p>
    <w:p w14:paraId="040B93C0" w14:textId="21642107" w:rsidR="008160CE" w:rsidRPr="00081FDD" w:rsidRDefault="008160CE" w:rsidP="00081FDD">
      <w:pPr>
        <w:pStyle w:val="separatorarticole"/>
      </w:pPr>
      <w:r w:rsidRPr="00081FDD">
        <w:t>*</w:t>
      </w:r>
    </w:p>
    <w:p w14:paraId="1557D53E" w14:textId="77777777" w:rsidR="008160CE" w:rsidRPr="00081FDD" w:rsidRDefault="008160CE" w:rsidP="00081FDD">
      <w:pPr>
        <w:pStyle w:val="TitluArticolinINFOUE"/>
        <w:rPr>
          <w:lang w:eastAsia="ro-RO"/>
        </w:rPr>
      </w:pPr>
      <w:bookmarkStart w:id="125" w:name="_Toc96929053"/>
      <w:r w:rsidRPr="00081FDD">
        <w:t>Concluziile reuniunii task-force pentru gestionarea situației generate de agresiunea militară rusă din Ucraina</w:t>
      </w:r>
      <w:bookmarkEnd w:id="125"/>
    </w:p>
    <w:p w14:paraId="39E16116"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Nicolae-Ionel Ciucă a convocat, la nivelul Guvernului, task-force-ul pentru gestionarea situației generate de agresiunea militară rusă din Ucraina. </w:t>
      </w:r>
    </w:p>
    <w:p w14:paraId="16566E5F"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Ministerul Afacerilor Externe continuă monitorizarea situației cetățenilor români din Ucraina și a convocat celula de criză inter-instituțională pentru sprijinirea și acordarea de asistență consulară cetățenilor români din Ucraina.</w:t>
      </w:r>
    </w:p>
    <w:p w14:paraId="0CD50323"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Guvernul monitorizează și evaluează intrările și ieșirile de gaze naturale pe toate rutele din țară, pentru a putea lua, în funcție de evoluția situației, măsurile necesare pentru a asigura continuitatea în aprovizionarea cu gaze naturale. România are suficiente stocuri de gaze din depozite pentru gestionarea perioadei sezonului rece.</w:t>
      </w:r>
    </w:p>
    <w:p w14:paraId="62E61A46"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Structurile guvernamentale responsabile sunt pregătite, totodată, să asigure măsurile necesare pentru preluarea, la nevoie, a fluxurilor de refugiați.</w:t>
      </w:r>
    </w:p>
    <w:p w14:paraId="308AD0FD"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Principalele responsabilități ale task-force-ului privind gestionarea consecințelor generate de agresiunea rusă în Ucraina sunt legate de monitorizarea situației și coordonarea măsurilor la nivelul structurilor guvernamentale pentru asigurarea funcționării tuturor serviciilor publice.</w:t>
      </w:r>
    </w:p>
    <w:p w14:paraId="5880406B" w14:textId="77777777"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Din acest grup de lucru fac parte ministrul Apărării, Vasile Dîncu, Externelor, Bogdan Aurescu, Finanțelor, Adrian Câciu, Internelor, Lucian Bode, Energiei, Virgil Popescu, Transporturilor, Sorin Grindeanu, Sănătății, Alexandru Rafila, Muncii, Marius Budăi, Secretarul General al Guvernului, Marian Neacșu și șeful Cancelariei Prim-ministrului, Mircea Abrudean.</w:t>
      </w:r>
    </w:p>
    <w:p w14:paraId="237D8500" w14:textId="7B36D66E" w:rsidR="008160CE" w:rsidRPr="00081FDD" w:rsidRDefault="008160CE" w:rsidP="00081FDD">
      <w:pPr>
        <w:pStyle w:val="separatorarticole"/>
      </w:pPr>
      <w:r w:rsidRPr="00081FDD">
        <w:t>*</w:t>
      </w:r>
    </w:p>
    <w:p w14:paraId="755DD5E6" w14:textId="77777777" w:rsidR="008160CE" w:rsidRPr="00081FDD" w:rsidRDefault="008160CE" w:rsidP="00081FDD">
      <w:pPr>
        <w:pStyle w:val="TitluArticolinINFOUE"/>
        <w:rPr>
          <w:lang w:eastAsia="ro-RO"/>
        </w:rPr>
      </w:pPr>
      <w:bookmarkStart w:id="126" w:name="_Toc96929054"/>
      <w:r w:rsidRPr="00081FDD">
        <w:t>Întâlnirea premierului Nicolae-Ionel Ciucă cu reprezentanții Fundației memoriale a victimelor comunismului</w:t>
      </w:r>
      <w:bookmarkEnd w:id="126"/>
    </w:p>
    <w:p w14:paraId="2ACDF0EF" w14:textId="77777777" w:rsid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Prim-ministrul României, Nicolae-Ionel Ciucă, i-a primit, astăzi, la  Palatul Victoria, pe Andrew Bremberg, președinte și CEO al Fundației Memoriale a Victimelor Comunismului, și pe Edwin J. Feulner, președinte al Consiliului Director.</w:t>
      </w:r>
    </w:p>
    <w:p w14:paraId="4F6BBF85" w14:textId="77777777" w:rsid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În cadrul întrevederii a fost abordată situația generată de agresiunea militară a Federației Ruse împotriva Ucrainei, premierul reliefând că România beneficiază, grație statutului de membru NATO și Parteneriatului Strategic cu Statele Unite ale Americii, de garanții de securitate solide. De asemenea, prim-ministrul Nicolae-Ionel Ciucă a subliniat importanța consolidării relației transatlantice pentru viitorul democratic și prosper al României.</w:t>
      </w:r>
    </w:p>
    <w:p w14:paraId="6DD1A840" w14:textId="77777777" w:rsid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lastRenderedPageBreak/>
        <w:t>“Apreciez inițiativa remarcabilă de a construi muzeul memorial dedicat victimelor comunismului la Washington D.C., care va avea o contribuție esențială în relația noastră transatlantică. Alături de cele trei muzee dedicate victimelor comunismului, pe care România le va construi la București, Râmnicu Sărat și Timișoara, astfel de repere nu ne vor lăsa să uităm ororile, umilințele, subdezvoltarea, sărăcia pe care dictaturile comuniste le-au adus în această parte a Europei. Suferințele generațiilor strivite cu brutalitate de mecanismele comunismului nu pot fi uitate mai ales în această perioadă în care lumea democratică se confruntă cu agresiuni revizioniste, în care forța militară ajunge să încalce normele dreptului internațional, suveranitatea și integritatea teritorială ale încercatului popor ucrainean”, a declarat prim-ministrul Nicolae-Ionel Ciucă.  </w:t>
      </w:r>
    </w:p>
    <w:p w14:paraId="43E61159" w14:textId="77777777" w:rsid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Șeful Executivului a arătat că România este recunoscătoare pentru beneficiile oferite de Parteneriatul Strategic cu S.U.A. atât prin prisma umbrelei de securitate oferite inclusiv în cadrul NATO, precum și din perspectiva investițiilor companiilor americane care contribuie la dezvoltarea României.</w:t>
      </w:r>
      <w:r w:rsidRPr="00081FDD">
        <w:rPr>
          <w:rFonts w:ascii="Verdana" w:hAnsi="Verdana"/>
          <w:color w:val="3C3C3C"/>
          <w:sz w:val="18"/>
          <w:szCs w:val="18"/>
        </w:rPr>
        <w:br/>
        <w:t>În acest context, a menționat seria de întâlniri cu reprezentanți ai companiilor americane reuniți în cadrul celor mai puternice organizații de business, AmCham și AMRO. ”M-am bucurat să remarc interesul investitorilor americani pentru România și faptul că vor continua să-și dezvolte proiectele. Este semnul cel mai clar al solidității parteneriatului nostru, alături de prezența semnificativă a militarilor americani în țara noastră”, a mai spus premierul.</w:t>
      </w:r>
    </w:p>
    <w:p w14:paraId="5EF6BC89" w14:textId="30B0699B" w:rsidR="008160CE" w:rsidRPr="00081FDD" w:rsidRDefault="008160CE" w:rsidP="00081FDD">
      <w:pPr>
        <w:pStyle w:val="NormalWeb"/>
        <w:spacing w:before="120" w:beforeAutospacing="0" w:after="0" w:afterAutospacing="0"/>
        <w:jc w:val="both"/>
        <w:textAlignment w:val="baseline"/>
        <w:rPr>
          <w:rFonts w:ascii="Verdana" w:hAnsi="Verdana"/>
          <w:color w:val="3C3C3C"/>
          <w:sz w:val="18"/>
          <w:szCs w:val="18"/>
        </w:rPr>
      </w:pPr>
      <w:r w:rsidRPr="00081FDD">
        <w:rPr>
          <w:rFonts w:ascii="Verdana" w:hAnsi="Verdana"/>
          <w:color w:val="3C3C3C"/>
          <w:sz w:val="18"/>
          <w:szCs w:val="18"/>
        </w:rPr>
        <w:t>Reprezentanții Fundației Memoriale a Victimelor Comunismului au prezentat evoluțiile proiectului care vizează inaugurarea, anul acesta, a unui Muzeu memorial dedicat victimelor comunismului în Washington, D.C., exprimându-și, totodată, aprecierea pentru demersurile statului român în ceea ce privește politicile memoriei, asumarea trecutului comunist, educarea tinerelor generații în spiritul valorilor democratice.</w:t>
      </w:r>
    </w:p>
    <w:p w14:paraId="2CC55A97" w14:textId="64BF2B86" w:rsidR="0006539B" w:rsidRDefault="0006539B" w:rsidP="0006539B">
      <w:pPr>
        <w:pStyle w:val="Stilsursa"/>
      </w:pPr>
      <w:r w:rsidRPr="0006539B">
        <w:t xml:space="preserve">Sursa: Guvernul României - </w:t>
      </w:r>
      <w:r w:rsidR="00BA4A11" w:rsidRPr="00BA4A11">
        <w:t>https://gov.ro/ro/media/comunicate</w:t>
      </w:r>
    </w:p>
    <w:bookmarkEnd w:id="11"/>
    <w:bookmarkEnd w:id="12"/>
    <w:bookmarkEnd w:id="13"/>
    <w:bookmarkEnd w:id="14"/>
    <w:bookmarkEnd w:id="15"/>
    <w:bookmarkEnd w:id="16"/>
    <w:p w14:paraId="17B5AE7A" w14:textId="278AE47E"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3881417" w14:textId="77777777" w:rsidR="000B0469" w:rsidRDefault="000B0469" w:rsidP="000B0469"/>
    <w:p w14:paraId="6AD26531" w14:textId="0FBFFE36" w:rsidR="00FD2452" w:rsidRPr="00F50627" w:rsidRDefault="00FD2452" w:rsidP="00B2000B">
      <w:pPr>
        <w:pStyle w:val="InfoEuropeana"/>
        <w:spacing w:before="0"/>
        <w:ind w:right="198"/>
      </w:pPr>
      <w:bookmarkStart w:id="127" w:name="_Toc96929055"/>
      <w:r w:rsidRPr="00F50627">
        <w:t>Informaţie Europeană</w:t>
      </w:r>
      <w:bookmarkEnd w:id="127"/>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0068047C">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FC24EA4" w14:textId="0C989C0E" w:rsidR="002307AB" w:rsidRDefault="002307AB" w:rsidP="00B2000B">
      <w:pPr>
        <w:pStyle w:val="separatorcapitole"/>
        <w:ind w:right="198"/>
      </w:pPr>
      <w:bookmarkStart w:id="128" w:name="_Toc415050943"/>
      <w:r w:rsidRPr="00F50627">
        <w:sym w:font="Wingdings" w:char="F07B"/>
      </w:r>
      <w:r w:rsidRPr="00F50627">
        <w:sym w:font="Wingdings" w:char="F07B"/>
      </w:r>
      <w:r w:rsidRPr="00F50627">
        <w:sym w:font="Wingdings" w:char="F07B"/>
      </w:r>
    </w:p>
    <w:p w14:paraId="0AA511DD" w14:textId="62901D57" w:rsidR="009B6759" w:rsidRDefault="00587A84" w:rsidP="00B2000B">
      <w:pPr>
        <w:pStyle w:val="RezultatedinOF"/>
        <w:tabs>
          <w:tab w:val="left" w:pos="3544"/>
          <w:tab w:val="left" w:pos="3686"/>
        </w:tabs>
        <w:spacing w:after="0" w:line="240" w:lineRule="auto"/>
        <w:ind w:right="198"/>
        <w:rPr>
          <w:color w:val="639729"/>
          <w:sz w:val="18"/>
          <w:szCs w:val="18"/>
        </w:rPr>
      </w:pPr>
      <w:bookmarkStart w:id="129" w:name="_Toc464051883"/>
      <w:bookmarkStart w:id="130" w:name="_Toc464117719"/>
      <w:bookmarkStart w:id="131" w:name="_Toc466963745"/>
      <w:bookmarkStart w:id="132" w:name="_Toc96929056"/>
      <w:bookmarkEnd w:id="128"/>
      <w:r w:rsidRPr="00B06E02">
        <w:rPr>
          <w:sz w:val="18"/>
          <w:szCs w:val="18"/>
        </w:rPr>
        <w:lastRenderedPageBreak/>
        <w:t>NOUTĂȚI</w:t>
      </w:r>
      <w:r w:rsidR="00F45109" w:rsidRPr="00B06E02">
        <w:rPr>
          <w:sz w:val="18"/>
          <w:szCs w:val="18"/>
        </w:rPr>
        <w:t xml:space="preserve"> – </w:t>
      </w:r>
      <w:r w:rsidR="00F45109" w:rsidRPr="00B06E02">
        <w:rPr>
          <w:color w:val="639729"/>
          <w:sz w:val="18"/>
          <w:szCs w:val="18"/>
        </w:rPr>
        <w:t>Informații UTILE</w:t>
      </w:r>
      <w:bookmarkEnd w:id="132"/>
    </w:p>
    <w:p w14:paraId="7A28D5BD" w14:textId="77777777" w:rsidR="00081FDD" w:rsidRPr="00081FDD" w:rsidRDefault="00081FDD" w:rsidP="00081FDD">
      <w:pPr>
        <w:pStyle w:val="TitluArticolinINFOUE"/>
        <w:rPr>
          <w:lang w:eastAsia="ro-RO"/>
        </w:rPr>
      </w:pPr>
      <w:bookmarkStart w:id="133" w:name="_Toc96929057"/>
      <w:r w:rsidRPr="00081FDD">
        <w:t>Banca Europeană de Investiții va sprijini MIPE în atragerea fondurilor europene alocate României pentru perioada 2021-2027</w:t>
      </w:r>
      <w:bookmarkEnd w:id="133"/>
    </w:p>
    <w:p w14:paraId="0B9CB2AB"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Ministerul Investițiilor și Proiectelor Europene a anunțat ieri, 24 februarie 2022, semnarea Memorandumul de Înțelegere privind Sprijinul pentru Implementarea Proiectelor între Guvernul României și Banca Europeană de Investiții (BEI), pentru perioada 2021-2027.</w:t>
      </w:r>
    </w:p>
    <w:p w14:paraId="157EF91B"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BEI va asigura sprijin în vederea definirii portofoliului proiecte, realizării obiectivelor din cadrul Acordului de Parteneriat 2021-2027 și reformelor structurale asumate, iar scopul sprijinului BEI va fi atragerea fondurilor europene alocate României pentru 2021-2027, se arată în comunicat.</w:t>
      </w:r>
    </w:p>
    <w:p w14:paraId="43273003"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În timpul reuniunii dintre reprezentanții MIPE și BEI au fost discutate detalii referitoare la sprijinul pe care experții BEI îl pot asigura în implementarea instrumentelor financiare aferente Politicii de Coeziune, respectiv a  Planului Național de Redresare și Reziliență.</w:t>
      </w:r>
    </w:p>
    <w:p w14:paraId="5169CD90"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În cadrul politicii de coeziune 2021 – 2027 României îi sunt alocate fonduri în valoare de aproximativ 31 miliarde euro (prețuri curente). În același timp, alocarea PNRR este de 29,2 miliarde euro.</w:t>
      </w:r>
    </w:p>
    <w:p w14:paraId="62FFEB6C" w14:textId="77777777" w:rsidR="00081FDD" w:rsidRPr="00081FDD" w:rsidRDefault="00081FDD" w:rsidP="00081FDD">
      <w:pPr>
        <w:pStyle w:val="Stilsursa"/>
      </w:pPr>
      <w:r w:rsidRPr="00081FDD">
        <w:t>Sursa: MIPE</w:t>
      </w:r>
    </w:p>
    <w:p w14:paraId="3E2B3343" w14:textId="0EF76D79" w:rsidR="00081FDD" w:rsidRPr="00081FDD" w:rsidRDefault="00081FDD" w:rsidP="00081FDD">
      <w:pPr>
        <w:pStyle w:val="separatorarticole"/>
      </w:pPr>
      <w:r w:rsidRPr="00081FDD">
        <w:t>*</w:t>
      </w:r>
    </w:p>
    <w:p w14:paraId="236BA2AD" w14:textId="77777777" w:rsidR="00081FDD" w:rsidRPr="00081FDD" w:rsidRDefault="00081FDD" w:rsidP="00081FDD">
      <w:pPr>
        <w:pStyle w:val="TitluArticolinINFOUE"/>
        <w:rPr>
          <w:lang w:eastAsia="ro-RO"/>
        </w:rPr>
      </w:pPr>
      <w:bookmarkStart w:id="134" w:name="_Toc96929058"/>
      <w:r w:rsidRPr="00081FDD">
        <w:t>Parte din bugetul pentru construirea de creșe noi, alocat din PNRR</w:t>
      </w:r>
      <w:bookmarkEnd w:id="134"/>
    </w:p>
    <w:p w14:paraId="734C9598"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Finanțarea necesară pentru construcția a 280 de creșe noi, moderne și eficiente din punct de vedere energetic a fost aprobată de Ministerul Dezvoltării, conform unui comunicat al instituției publicat ieri, 24 februarie 2022.</w:t>
      </w:r>
    </w:p>
    <w:p w14:paraId="5C13E4C0"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Ministrul dezvoltării a aprobat finanțarea necesară pentru 8 creșe mari, 20 creșe medii și 62 creșe mici în mediul rural, și pentru 6 creșe mari, 13 creșe medii și 33 creșe mici în orașe. În cele 280 de creșe aprobate până acum se creează locuri pentru 15.520 de copii; în prezent, în creșele de stat existente au loc 22.296 copii.</w:t>
      </w:r>
    </w:p>
    <w:p w14:paraId="023B6F66"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Ministerul Dezvoltării are alocate, din bugetul național, dar și din fonduri europene, prin Programul Național de Redresare și Reziliență (PNRR), 230 de milioane de euro pentru construirea de creșe noi. „</w:t>
      </w:r>
      <w:r w:rsidRPr="00081FDD">
        <w:rPr>
          <w:rStyle w:val="Emphasis"/>
          <w:color w:val="313131"/>
        </w:rPr>
        <w:t>Vom cere supracontractare pentru acest capitol de buget din PNRR, la fel am cerut și pentru Fondul Local și Valul Renovării. Prin această măsură, ne asigurăm că va fi cheltuit fiecare euro și nu vom trimite bani înapoi la Bruxelles</w:t>
      </w:r>
      <w:r w:rsidRPr="00081FDD">
        <w:rPr>
          <w:rFonts w:ascii="Verdana" w:hAnsi="Verdana"/>
          <w:color w:val="313131"/>
          <w:sz w:val="18"/>
          <w:szCs w:val="18"/>
        </w:rPr>
        <w:t>”, a arătat Cseke Attila.</w:t>
      </w:r>
    </w:p>
    <w:p w14:paraId="3D2D40C5" w14:textId="77777777" w:rsidR="00081FDD" w:rsidRPr="00081FDD" w:rsidRDefault="00081FDD" w:rsidP="00081FDD">
      <w:pPr>
        <w:pStyle w:val="Stilsursa"/>
      </w:pPr>
      <w:r w:rsidRPr="00081FDD">
        <w:t>Sursa: MDLPA</w:t>
      </w:r>
    </w:p>
    <w:p w14:paraId="5EBD0457" w14:textId="0C1A9F90" w:rsidR="00081FDD" w:rsidRPr="00081FDD" w:rsidRDefault="00081FDD" w:rsidP="00081FDD">
      <w:pPr>
        <w:pStyle w:val="separatorarticole"/>
      </w:pPr>
      <w:r w:rsidRPr="00081FDD">
        <w:t>*</w:t>
      </w:r>
    </w:p>
    <w:p w14:paraId="4FCC05FA" w14:textId="77777777" w:rsidR="00081FDD" w:rsidRPr="00081FDD" w:rsidRDefault="00081FDD" w:rsidP="00081FDD">
      <w:pPr>
        <w:pStyle w:val="TitluArticolinINFOUE"/>
        <w:rPr>
          <w:lang w:eastAsia="ro-RO"/>
        </w:rPr>
      </w:pPr>
      <w:bookmarkStart w:id="135" w:name="_Toc96929059"/>
      <w:r w:rsidRPr="00081FDD">
        <w:t>A fost publicată varianta actualizată a Ghidului Beneficiarului privind implementarea tehnică și financiară a proiectelor finanțate din POAT 2014 – 2020</w:t>
      </w:r>
      <w:bookmarkEnd w:id="135"/>
    </w:p>
    <w:p w14:paraId="610E1E5C"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Autoritatea de Management pentru Programul Operațional Asistență Tehnică din cadrul Ministerul Investițiilor și Proiectelor Europene a publicat ieri, 23 februarie 2022, Ghidul Beneficiarului privind implementarea tehnică și financiară a proiectelor finanțate din POAT 2014 – 2020 – versiunea februarie 2022.</w:t>
      </w:r>
    </w:p>
    <w:p w14:paraId="75AFA7C1" w14:textId="77777777" w:rsidR="00081FDD" w:rsidRPr="00081FDD" w:rsidRDefault="0079598A" w:rsidP="00081FDD">
      <w:pPr>
        <w:pStyle w:val="NormalWeb"/>
        <w:spacing w:before="120" w:beforeAutospacing="0" w:after="0" w:afterAutospacing="0"/>
        <w:rPr>
          <w:rFonts w:ascii="Verdana" w:hAnsi="Verdana"/>
          <w:color w:val="313131"/>
          <w:sz w:val="18"/>
          <w:szCs w:val="18"/>
        </w:rPr>
      </w:pPr>
      <w:hyperlink r:id="rId15" w:tgtFrame="_blank" w:history="1">
        <w:r w:rsidR="00081FDD" w:rsidRPr="00081FDD">
          <w:rPr>
            <w:rStyle w:val="Emphasis"/>
            <w:b/>
            <w:bCs/>
            <w:color w:val="0000FF"/>
            <w:u w:val="single"/>
          </w:rPr>
          <w:t>Descarcă</w:t>
        </w:r>
        <w:r w:rsidR="00081FDD" w:rsidRPr="00081FDD">
          <w:rPr>
            <w:rStyle w:val="Hyperlink"/>
          </w:rPr>
          <w:t> </w:t>
        </w:r>
      </w:hyperlink>
      <w:r w:rsidR="00081FDD" w:rsidRPr="00081FDD">
        <w:rPr>
          <w:rFonts w:ascii="Verdana" w:hAnsi="Verdana"/>
          <w:color w:val="313131"/>
          <w:sz w:val="18"/>
          <w:szCs w:val="18"/>
        </w:rPr>
        <w:t>ghidul</w:t>
      </w:r>
    </w:p>
    <w:p w14:paraId="6EC38C60"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Ghidul prezintă beneficiarilor informații cu privire la implementarea proiectelor, perioada de durabilitate/sustenabilitate a acestora, obligațiile privind păstrarea și arhivarea documentelor, formatul cererilor de rambursare/rapoartelor de progres/notificărilor/solicitărilor de acte adiționale/alte raportări ce vor fi întocmite, precum și termenele de transmitere a acestora către AM POAT.</w:t>
      </w:r>
    </w:p>
    <w:p w14:paraId="5EED230D" w14:textId="77777777" w:rsidR="00081FDD" w:rsidRPr="00081FDD" w:rsidRDefault="00081FDD" w:rsidP="00081FDD">
      <w:pPr>
        <w:pStyle w:val="Stilsursa"/>
      </w:pPr>
      <w:r w:rsidRPr="00081FDD">
        <w:t>Sursa: MIPE</w:t>
      </w:r>
    </w:p>
    <w:p w14:paraId="0C729E76" w14:textId="4A66A461" w:rsidR="00081FDD" w:rsidRPr="00081FDD" w:rsidRDefault="00081FDD" w:rsidP="00081FDD">
      <w:pPr>
        <w:pStyle w:val="separatorarticole"/>
      </w:pPr>
      <w:r w:rsidRPr="00081FDD">
        <w:t>*</w:t>
      </w:r>
    </w:p>
    <w:p w14:paraId="4492486F" w14:textId="77777777" w:rsidR="00081FDD" w:rsidRPr="00081FDD" w:rsidRDefault="00081FDD" w:rsidP="00081FDD">
      <w:pPr>
        <w:pStyle w:val="TitluArticolinINFOUE"/>
        <w:rPr>
          <w:lang w:eastAsia="ro-RO"/>
        </w:rPr>
      </w:pPr>
      <w:bookmarkStart w:id="136" w:name="_Toc96929060"/>
      <w:r w:rsidRPr="00081FDD">
        <w:lastRenderedPageBreak/>
        <w:t>A fost aprobat Programul Interreg IPA România-Serbia 2021-2027</w:t>
      </w:r>
      <w:bookmarkEnd w:id="136"/>
    </w:p>
    <w:p w14:paraId="3AF1A2AA"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Astăzi, 23 februarie 2022, în cadrul ședinței de Guvern, a fost aprobată negocierea și semnarea, de către România, a Programului Interreg IPA România-Serbia 2021-2027 și a scrisorii de angajament, în vederea transmiterii spre negociere către Comisia Europeană.</w:t>
      </w:r>
    </w:p>
    <w:p w14:paraId="62FA3384"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Guvernul a aprobat și lista instituțiilor române care vor face parte din Comitetul de Monitorizare al viitorului Program, astfel încât, imediat după aprobarea programului de către Comisia Europeană, Comitetul de Monitorizare să poată aproba documentele necesare lansării primului apel pentru propuneri de proiecte.</w:t>
      </w:r>
    </w:p>
    <w:p w14:paraId="33972E0A"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În perioada 2021-2027, </w:t>
      </w:r>
      <w:r w:rsidRPr="00081FDD">
        <w:rPr>
          <w:rStyle w:val="Strong"/>
          <w:color w:val="313131"/>
        </w:rPr>
        <w:t>România este Autoritate de Management pentru Programul Interreg IPA România-Serbia 2021-2027</w:t>
      </w:r>
      <w:r w:rsidRPr="00081FDD">
        <w:rPr>
          <w:rFonts w:ascii="Verdana" w:hAnsi="Verdana"/>
          <w:color w:val="313131"/>
          <w:sz w:val="18"/>
          <w:szCs w:val="18"/>
        </w:rPr>
        <w:t>, ce va avea un buget total de </w:t>
      </w:r>
      <w:r w:rsidRPr="00081FDD">
        <w:rPr>
          <w:rStyle w:val="Strong"/>
          <w:color w:val="313131"/>
        </w:rPr>
        <w:t>87.725.681 euro</w:t>
      </w:r>
      <w:r w:rsidRPr="00081FDD">
        <w:rPr>
          <w:rFonts w:ascii="Verdana" w:hAnsi="Verdana"/>
          <w:color w:val="313131"/>
          <w:sz w:val="18"/>
          <w:szCs w:val="18"/>
        </w:rPr>
        <w:t> și care va finanța proiecte privind protecția mediului și adaptările la schimbările climatice, sănătate și educație, turism și cultură, respectiv managementul frontierei.</w:t>
      </w:r>
    </w:p>
    <w:p w14:paraId="49CDFC5D"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Finanțarea pentru aceste priorități va fi de 85% din Instrumentul de Asistență pentru Preaderare (IPA III), 13% va fi cofinanțarea națională, asigurată de către statul român, iar contribuția proprie va fi de 2% pentru beneficiarii români. Beneficiarii sârbi vor asigura cofinanțarea de 15% integral din contribuția proprie.</w:t>
      </w:r>
    </w:p>
    <w:p w14:paraId="7E57679A"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În aria eligibilă a acestui program sunt cuprinse trei judeţe din România (Timiș, Caraș-Severin și Mehedinţi), precum şi șase districte din Serbia (Severno Banatski, Srednje Banatski, Južno Banatski, Braničevski, Borski și Podunavski).</w:t>
      </w:r>
    </w:p>
    <w:p w14:paraId="7A2E8DC1" w14:textId="77777777" w:rsidR="00081FDD" w:rsidRPr="00081FDD" w:rsidRDefault="00081FDD" w:rsidP="00081FDD">
      <w:pPr>
        <w:pStyle w:val="Stilsursa"/>
      </w:pPr>
      <w:r w:rsidRPr="00081FDD">
        <w:t>Sursa: MDLPA</w:t>
      </w:r>
    </w:p>
    <w:p w14:paraId="655F38B5" w14:textId="67012D68" w:rsidR="00081FDD" w:rsidRPr="00081FDD" w:rsidRDefault="00081FDD" w:rsidP="00081FDD">
      <w:pPr>
        <w:pStyle w:val="separatorarticole"/>
      </w:pPr>
      <w:r w:rsidRPr="00081FDD">
        <w:t>*</w:t>
      </w:r>
    </w:p>
    <w:p w14:paraId="0DB76E32" w14:textId="77777777" w:rsidR="00081FDD" w:rsidRPr="00081FDD" w:rsidRDefault="00081FDD" w:rsidP="00081FDD">
      <w:pPr>
        <w:pStyle w:val="TitluArticolinINFOUE"/>
        <w:rPr>
          <w:lang w:eastAsia="ro-RO"/>
        </w:rPr>
      </w:pPr>
      <w:bookmarkStart w:id="137" w:name="_Toc96929061"/>
      <w:r w:rsidRPr="00081FDD">
        <w:t>Hotărârea privind înființarea Comitetului de monitorizare a PNRR al României, adoptată de Executiv</w:t>
      </w:r>
      <w:bookmarkEnd w:id="137"/>
    </w:p>
    <w:p w14:paraId="510B20F8"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Guvernul României a adoptat astăzi, 23 februarie 2022, Hotărârea privind organizarea și funcționarea Comitetului de monitorizare a Planului Naţional de Redresare și Rezilienţă al României (CM PNRR).</w:t>
      </w:r>
    </w:p>
    <w:p w14:paraId="32FCBBC3"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Comitetul este un organism interinstituțional, cu rol consultativ, de informare și dezbatere fără personalitate juridică, condus de un președinte, reprezentat de ministrul investițiilor și proiectelor europene și are în componență un număr impar de membri, reprezentanți ai:</w:t>
      </w:r>
    </w:p>
    <w:p w14:paraId="24BBF05F" w14:textId="77777777" w:rsidR="00081FDD" w:rsidRPr="00081FDD" w:rsidRDefault="00081FDD" w:rsidP="00081FDD">
      <w:pPr>
        <w:numPr>
          <w:ilvl w:val="0"/>
          <w:numId w:val="39"/>
        </w:numPr>
        <w:rPr>
          <w:color w:val="313131"/>
          <w:szCs w:val="18"/>
        </w:rPr>
      </w:pPr>
      <w:r w:rsidRPr="00081FDD">
        <w:rPr>
          <w:rStyle w:val="Strong"/>
          <w:color w:val="313131"/>
        </w:rPr>
        <w:t>organizațiilor neguvernamentale</w:t>
      </w:r>
      <w:r w:rsidRPr="00081FDD">
        <w:rPr>
          <w:color w:val="313131"/>
          <w:szCs w:val="18"/>
        </w:rPr>
        <w:t>, </w:t>
      </w:r>
      <w:r w:rsidRPr="00081FDD">
        <w:rPr>
          <w:rStyle w:val="Strong"/>
          <w:color w:val="313131"/>
        </w:rPr>
        <w:t>selectate prin apel de candidaturi</w:t>
      </w:r>
      <w:r w:rsidRPr="00081FDD">
        <w:rPr>
          <w:color w:val="313131"/>
          <w:szCs w:val="18"/>
        </w:rPr>
        <w:t> de către Ministerul Investiţiilor şi Proiectelor Europene, </w:t>
      </w:r>
      <w:r w:rsidRPr="00081FDD">
        <w:rPr>
          <w:rStyle w:val="Strong"/>
          <w:color w:val="313131"/>
        </w:rPr>
        <w:t>în baza gradului de reprezentativitate al acestora</w:t>
      </w:r>
      <w:r w:rsidRPr="00081FDD">
        <w:rPr>
          <w:color w:val="313131"/>
          <w:szCs w:val="18"/>
        </w:rPr>
        <w:t>;</w:t>
      </w:r>
    </w:p>
    <w:p w14:paraId="59013FC1" w14:textId="77777777" w:rsidR="00081FDD" w:rsidRPr="00081FDD" w:rsidRDefault="00081FDD" w:rsidP="00081FDD">
      <w:pPr>
        <w:numPr>
          <w:ilvl w:val="0"/>
          <w:numId w:val="39"/>
        </w:numPr>
        <w:rPr>
          <w:color w:val="313131"/>
          <w:szCs w:val="18"/>
        </w:rPr>
      </w:pPr>
      <w:r w:rsidRPr="00081FDD">
        <w:rPr>
          <w:rStyle w:val="Strong"/>
          <w:color w:val="313131"/>
        </w:rPr>
        <w:t>sindicatelor</w:t>
      </w:r>
      <w:r w:rsidRPr="00081FDD">
        <w:rPr>
          <w:color w:val="313131"/>
          <w:szCs w:val="18"/>
        </w:rPr>
        <w:t>;</w:t>
      </w:r>
    </w:p>
    <w:p w14:paraId="1FF7C7C0" w14:textId="77777777" w:rsidR="00081FDD" w:rsidRPr="00081FDD" w:rsidRDefault="00081FDD" w:rsidP="00081FDD">
      <w:pPr>
        <w:numPr>
          <w:ilvl w:val="0"/>
          <w:numId w:val="39"/>
        </w:numPr>
        <w:rPr>
          <w:color w:val="313131"/>
          <w:szCs w:val="18"/>
        </w:rPr>
      </w:pPr>
      <w:r w:rsidRPr="00081FDD">
        <w:rPr>
          <w:rStyle w:val="Strong"/>
          <w:color w:val="313131"/>
        </w:rPr>
        <w:t>patronatelor</w:t>
      </w:r>
      <w:r w:rsidRPr="00081FDD">
        <w:rPr>
          <w:color w:val="313131"/>
          <w:szCs w:val="18"/>
        </w:rPr>
        <w:t>;</w:t>
      </w:r>
    </w:p>
    <w:p w14:paraId="7FB6D528" w14:textId="77777777" w:rsidR="00081FDD" w:rsidRPr="00081FDD" w:rsidRDefault="00081FDD" w:rsidP="00081FDD">
      <w:pPr>
        <w:numPr>
          <w:ilvl w:val="0"/>
          <w:numId w:val="39"/>
        </w:numPr>
        <w:rPr>
          <w:color w:val="313131"/>
          <w:szCs w:val="18"/>
        </w:rPr>
      </w:pPr>
      <w:r w:rsidRPr="00081FDD">
        <w:rPr>
          <w:rStyle w:val="Strong"/>
          <w:color w:val="313131"/>
        </w:rPr>
        <w:t>structurilor asociative ale administrației publice locale</w:t>
      </w:r>
      <w:r w:rsidRPr="00081FDD">
        <w:rPr>
          <w:color w:val="313131"/>
          <w:szCs w:val="18"/>
        </w:rPr>
        <w:t>, respectiv: Uniunea Națională a Consiliilor Județene din România, Asociația Municipiilor din România, Asociația Orașelor din România și Asociația Comunelor din România;</w:t>
      </w:r>
    </w:p>
    <w:p w14:paraId="241C5984" w14:textId="77777777" w:rsidR="00081FDD" w:rsidRPr="00081FDD" w:rsidRDefault="00081FDD" w:rsidP="00081FDD">
      <w:pPr>
        <w:numPr>
          <w:ilvl w:val="0"/>
          <w:numId w:val="39"/>
        </w:numPr>
        <w:rPr>
          <w:color w:val="313131"/>
          <w:szCs w:val="18"/>
        </w:rPr>
      </w:pPr>
      <w:r w:rsidRPr="00081FDD">
        <w:rPr>
          <w:rStyle w:val="Strong"/>
          <w:color w:val="313131"/>
        </w:rPr>
        <w:t>alte forme asociative</w:t>
      </w:r>
      <w:r w:rsidRPr="00081FDD">
        <w:rPr>
          <w:color w:val="313131"/>
          <w:szCs w:val="18"/>
        </w:rPr>
        <w:t> de interes general, constituite potrivit legii.</w:t>
      </w:r>
    </w:p>
    <w:p w14:paraId="6EA2EBB3"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De asemenea, conform MIPE, Comitetul își va desfășura activitatea pe baza unui </w:t>
      </w:r>
      <w:r w:rsidRPr="00081FDD">
        <w:rPr>
          <w:rStyle w:val="Strong"/>
          <w:color w:val="313131"/>
        </w:rPr>
        <w:t>regulament</w:t>
      </w:r>
      <w:r w:rsidRPr="00081FDD">
        <w:rPr>
          <w:rFonts w:ascii="Verdana" w:hAnsi="Verdana"/>
          <w:color w:val="313131"/>
          <w:sz w:val="18"/>
          <w:szCs w:val="18"/>
        </w:rPr>
        <w:t> de organizare și funcționare, care urmează a fi dezbătut și aprobat în cadrul primei reuniuni a CM PNRR (în termen de </w:t>
      </w:r>
      <w:r w:rsidRPr="00081FDD">
        <w:rPr>
          <w:rStyle w:val="Strong"/>
          <w:color w:val="313131"/>
        </w:rPr>
        <w:t>maximum 30 de zile</w:t>
      </w:r>
      <w:r w:rsidRPr="00081FDD">
        <w:rPr>
          <w:rFonts w:ascii="Verdana" w:hAnsi="Verdana"/>
          <w:color w:val="313131"/>
          <w:sz w:val="18"/>
          <w:szCs w:val="18"/>
        </w:rPr>
        <w:t> de la data intrării în vigoare a Hotărârii privind organizarea și funcționarea Comitetului de monitorizare a Planului Național de Redresare și Reziliență al României). Principalele atribuții exercitate sunt:</w:t>
      </w:r>
    </w:p>
    <w:p w14:paraId="7B392E8E" w14:textId="77777777" w:rsidR="00081FDD" w:rsidRPr="00081FDD" w:rsidRDefault="00081FDD" w:rsidP="00081FDD">
      <w:pPr>
        <w:numPr>
          <w:ilvl w:val="0"/>
          <w:numId w:val="40"/>
        </w:numPr>
        <w:rPr>
          <w:color w:val="313131"/>
          <w:szCs w:val="18"/>
        </w:rPr>
      </w:pPr>
      <w:r w:rsidRPr="00081FDD">
        <w:rPr>
          <w:color w:val="313131"/>
          <w:szCs w:val="18"/>
        </w:rPr>
        <w:t>urmărirea progresului implementării investițiilor şi reformelor (R/I) din cadrul PNRR, inclusiv prin asigurarea implicării partenerilor sociali şi societății civile în această etapă; informarea membrilor cu privire la stadiul implementării PNRR;</w:t>
      </w:r>
    </w:p>
    <w:p w14:paraId="5BBBF997" w14:textId="77777777" w:rsidR="00081FDD" w:rsidRPr="00081FDD" w:rsidRDefault="00081FDD" w:rsidP="00081FDD">
      <w:pPr>
        <w:numPr>
          <w:ilvl w:val="0"/>
          <w:numId w:val="40"/>
        </w:numPr>
        <w:rPr>
          <w:color w:val="313131"/>
          <w:szCs w:val="18"/>
        </w:rPr>
      </w:pPr>
      <w:r w:rsidRPr="00081FDD">
        <w:rPr>
          <w:color w:val="313131"/>
          <w:szCs w:val="18"/>
        </w:rPr>
        <w:t>realizarea activității de consultare a membrilor în scopul identificării de soluţii în eventualitatea unor blocaje în implementarea R/I;</w:t>
      </w:r>
    </w:p>
    <w:p w14:paraId="5563075F" w14:textId="77777777" w:rsidR="00081FDD" w:rsidRPr="00081FDD" w:rsidRDefault="00081FDD" w:rsidP="00081FDD">
      <w:pPr>
        <w:numPr>
          <w:ilvl w:val="0"/>
          <w:numId w:val="40"/>
        </w:numPr>
        <w:rPr>
          <w:color w:val="313131"/>
          <w:szCs w:val="18"/>
        </w:rPr>
      </w:pPr>
      <w:r w:rsidRPr="00081FDD">
        <w:rPr>
          <w:color w:val="313131"/>
          <w:szCs w:val="18"/>
        </w:rPr>
        <w:t>dezbaterea aspectelor care reies din procesul de implementare efectivă a PNRR;</w:t>
      </w:r>
    </w:p>
    <w:p w14:paraId="531EA878" w14:textId="77777777" w:rsidR="00081FDD" w:rsidRPr="00081FDD" w:rsidRDefault="00081FDD" w:rsidP="00081FDD">
      <w:pPr>
        <w:numPr>
          <w:ilvl w:val="0"/>
          <w:numId w:val="40"/>
        </w:numPr>
        <w:rPr>
          <w:color w:val="313131"/>
          <w:szCs w:val="18"/>
        </w:rPr>
      </w:pPr>
      <w:r w:rsidRPr="00081FDD">
        <w:rPr>
          <w:color w:val="313131"/>
          <w:szCs w:val="18"/>
        </w:rPr>
        <w:lastRenderedPageBreak/>
        <w:t>informarea membrilor cu privire la contribuția PNRR pentru îndeplinirea obiectivelor strategiilor și programelor naționale, precum și a strategiilor Uniunii Europene.</w:t>
      </w:r>
    </w:p>
    <w:p w14:paraId="5A31DF14" w14:textId="77777777" w:rsidR="00081FDD" w:rsidRPr="00081FDD" w:rsidRDefault="00081FDD"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În realizarea atribuțiilor sale, CM PNRR poate formula recomandări prin votul majorității simple a membrilor. Secretariatul se asigură de către Ministerul Investiţiilor și Proiectelor Europene.</w:t>
      </w:r>
    </w:p>
    <w:p w14:paraId="4647FA27" w14:textId="77777777" w:rsidR="00081FDD" w:rsidRPr="00081FDD" w:rsidRDefault="0079598A" w:rsidP="00081FDD">
      <w:pPr>
        <w:pStyle w:val="NormalWeb"/>
        <w:spacing w:before="120" w:beforeAutospacing="0" w:after="0" w:afterAutospacing="0"/>
        <w:rPr>
          <w:rFonts w:ascii="Verdana" w:hAnsi="Verdana"/>
          <w:color w:val="313131"/>
          <w:sz w:val="18"/>
          <w:szCs w:val="18"/>
        </w:rPr>
      </w:pPr>
      <w:hyperlink r:id="rId16" w:tgtFrame="_blank" w:history="1">
        <w:r w:rsidR="00081FDD" w:rsidRPr="00081FDD">
          <w:rPr>
            <w:rStyle w:val="Emphasis"/>
            <w:b/>
            <w:bCs/>
            <w:color w:val="0000FF"/>
            <w:u w:val="single"/>
          </w:rPr>
          <w:t>Descarcă</w:t>
        </w:r>
      </w:hyperlink>
      <w:r w:rsidR="00081FDD" w:rsidRPr="00081FDD">
        <w:rPr>
          <w:rFonts w:ascii="Verdana" w:hAnsi="Verdana"/>
          <w:color w:val="313131"/>
          <w:sz w:val="18"/>
          <w:szCs w:val="18"/>
        </w:rPr>
        <w:t> Proiectul de HG</w:t>
      </w:r>
    </w:p>
    <w:p w14:paraId="5254759F" w14:textId="77777777" w:rsidR="00081FDD" w:rsidRPr="00081FDD" w:rsidRDefault="00081FDD" w:rsidP="00081FDD">
      <w:pPr>
        <w:pStyle w:val="Stilsursa"/>
      </w:pPr>
      <w:r w:rsidRPr="00081FDD">
        <w:t>Sursa: MIPE</w:t>
      </w:r>
    </w:p>
    <w:p w14:paraId="6D0C9DFF" w14:textId="32544170" w:rsidR="00081FDD" w:rsidRPr="00081FDD" w:rsidRDefault="00081FDD" w:rsidP="00081FDD">
      <w:pPr>
        <w:pStyle w:val="separatorarticole"/>
      </w:pPr>
      <w:r w:rsidRPr="00081FDD">
        <w:t>*</w:t>
      </w:r>
    </w:p>
    <w:p w14:paraId="5437BA70" w14:textId="77777777" w:rsidR="00C067DA" w:rsidRPr="00081FDD" w:rsidRDefault="00C067DA" w:rsidP="00081FDD">
      <w:pPr>
        <w:pStyle w:val="TitluArticolinINFOUE"/>
        <w:rPr>
          <w:lang w:eastAsia="ro-RO"/>
        </w:rPr>
      </w:pPr>
      <w:bookmarkStart w:id="138" w:name="_Toc96929062"/>
      <w:r w:rsidRPr="00081FDD">
        <w:t>Planul de Investiții pentru Europa sprijină un nou fond pentru finanțarea eficienței energetice a clădirilor din întreaga UE</w:t>
      </w:r>
      <w:bookmarkEnd w:id="138"/>
    </w:p>
    <w:p w14:paraId="78F85019" w14:textId="77777777" w:rsidR="00C067DA" w:rsidRPr="00081FDD" w:rsidRDefault="00C067D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Banca Europeană de Investiții (BEI) a alocat 30 de milioane de euro noului Fond Solar pentru Energie Durabilă ICAV (SSEF), conform unui comunicat al Comisiei Europene publicat ieri, 22 februarie 2022.</w:t>
      </w:r>
    </w:p>
    <w:p w14:paraId="6925C11F" w14:textId="77777777" w:rsidR="00C067DA" w:rsidRPr="00081FDD" w:rsidRDefault="00C067D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Investiția BEI este susținută de Fondul European pentru Investiții Strategice (FEIS).</w:t>
      </w:r>
    </w:p>
    <w:p w14:paraId="686EADC8" w14:textId="77777777" w:rsidR="00C067DA" w:rsidRPr="00081FDD" w:rsidRDefault="00C067D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Cu o dimensiune țintă globală de 200 de milioane de euro, fondul SSEF a ajuns acum la prima închidere la 140 de milioane de euro.</w:t>
      </w:r>
    </w:p>
    <w:p w14:paraId="790DC498" w14:textId="77777777" w:rsidR="00C067DA" w:rsidRPr="00081FDD" w:rsidRDefault="00C067D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Finanțarea sa va sprijini modelele de afaceri care economisesc energie, concentrându-se pe renovarea infrastructurii existente în Europa, în special a clădirilor. Vor fi sprijinite proiecte atât din sectorul public, cât și din cel privat, inclusiv întreprinderile mici și mijlocii (IMM-uri), care se confruntă cu mai multe provocări în asigurarea finanțării.</w:t>
      </w:r>
    </w:p>
    <w:p w14:paraId="203BED7D" w14:textId="77777777" w:rsidR="00C067DA" w:rsidRPr="00081FDD" w:rsidRDefault="00C067D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SSEF a semnat, de asemenea, un acord cu schema de sprijin pentru Finanțarea Privată pentru Eficiența Energetică (PF4EE), o inițiativă comună lansată de Comisie prin programul LIFE și BEI. Unul dintre obiectivele PF4EE este de a încuraja investitorii instituționali privați, cum ar fi asigurătorii și fondurile de pensii, să investească în infrastructura europeană de eficiență energetică, în special în IMM-uri.</w:t>
      </w:r>
    </w:p>
    <w:p w14:paraId="36128809" w14:textId="77777777" w:rsidR="00C067DA" w:rsidRPr="00081FDD" w:rsidRDefault="00C067D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FEIS este pilonul principal al Planului de investiții pentru Europa, care a mobilizat până acum 546,5 miliarde euro de investiții, beneficiind peste 1,4 milioane de IMM-uri.</w:t>
      </w:r>
    </w:p>
    <w:p w14:paraId="0964DB85" w14:textId="77777777" w:rsidR="00C067DA" w:rsidRPr="00081FDD" w:rsidRDefault="00C067DA" w:rsidP="00081FDD">
      <w:pPr>
        <w:pStyle w:val="Stilsursa"/>
      </w:pPr>
      <w:r w:rsidRPr="00081FDD">
        <w:t>Sursa: Comisia Europeană</w:t>
      </w:r>
    </w:p>
    <w:p w14:paraId="7E71A06C" w14:textId="7D4622A1" w:rsidR="00C067DA" w:rsidRPr="00081FDD" w:rsidRDefault="00C067DA" w:rsidP="00081FDD">
      <w:pPr>
        <w:pStyle w:val="separatorarticole"/>
      </w:pPr>
      <w:r w:rsidRPr="00081FDD">
        <w:t>*</w:t>
      </w:r>
    </w:p>
    <w:p w14:paraId="0AA7ED40" w14:textId="77777777" w:rsidR="00C067DA" w:rsidRPr="00081FDD" w:rsidRDefault="00C067DA" w:rsidP="00081FDD">
      <w:pPr>
        <w:pStyle w:val="TitluArticolinINFOUE"/>
        <w:rPr>
          <w:lang w:eastAsia="ro-RO"/>
        </w:rPr>
      </w:pPr>
      <w:bookmarkStart w:id="139" w:name="_Toc96929063"/>
      <w:r w:rsidRPr="00081FDD">
        <w:t>POAT: A fost publicată metodologia de calcul pentru cheltuielile eligibile în cazul în care personalul realizează și alte atribuții</w:t>
      </w:r>
      <w:bookmarkEnd w:id="139"/>
    </w:p>
    <w:p w14:paraId="674577CE" w14:textId="77777777" w:rsidR="00C067DA" w:rsidRPr="00081FDD" w:rsidRDefault="00C067D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Autoritatea de Management pentru Programul Operațional Asistență Tehnică din cadrul Ministerul Investițiilor și Proiectelor Europene a publicat ieri, 22 februarie 2022, Metodologia de calcul pentru determinarea valorii eligibile din POAT a cheltuielilor eligibile în cazul în care personalul structurii eligibile realizează și alte atribuții decât cele legate de obiectivul proiectului, la 16.02.2022.</w:t>
      </w:r>
    </w:p>
    <w:p w14:paraId="6F120595" w14:textId="77777777" w:rsidR="00C067DA" w:rsidRPr="00081FDD" w:rsidRDefault="0079598A" w:rsidP="00081FDD">
      <w:pPr>
        <w:pStyle w:val="NormalWeb"/>
        <w:spacing w:before="120" w:beforeAutospacing="0" w:after="0" w:afterAutospacing="0"/>
        <w:rPr>
          <w:rFonts w:ascii="Verdana" w:hAnsi="Verdana"/>
          <w:color w:val="313131"/>
          <w:sz w:val="18"/>
          <w:szCs w:val="18"/>
        </w:rPr>
      </w:pPr>
      <w:hyperlink r:id="rId17" w:tgtFrame="_blank" w:history="1">
        <w:r w:rsidR="00C067DA" w:rsidRPr="00081FDD">
          <w:rPr>
            <w:rStyle w:val="Emphasis"/>
            <w:b/>
            <w:bCs/>
            <w:color w:val="0000FF"/>
            <w:u w:val="single"/>
          </w:rPr>
          <w:t>Descarcă</w:t>
        </w:r>
        <w:r w:rsidR="00C067DA" w:rsidRPr="00081FDD">
          <w:rPr>
            <w:rStyle w:val="Hyperlink"/>
          </w:rPr>
          <w:t> </w:t>
        </w:r>
      </w:hyperlink>
      <w:r w:rsidR="00C067DA" w:rsidRPr="00081FDD">
        <w:rPr>
          <w:rFonts w:ascii="Verdana" w:hAnsi="Verdana"/>
          <w:color w:val="313131"/>
          <w:sz w:val="18"/>
          <w:szCs w:val="18"/>
        </w:rPr>
        <w:t>metodologia</w:t>
      </w:r>
    </w:p>
    <w:p w14:paraId="216D069D" w14:textId="77777777" w:rsidR="00C067DA" w:rsidRPr="00081FDD" w:rsidRDefault="00C067D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Conform AM POAT, această metodologie nu se aplică în cazul proiectelor în care beneficiarii și cheltuielile efectuate de aceștia sunt 100% în scopul realizării obiectivului proiectului în cadrul căruia se solicită la rambursare, sau dacă este prevăzut altfel în contractul/ decizia de finanțare.</w:t>
      </w:r>
    </w:p>
    <w:p w14:paraId="29965505" w14:textId="77777777" w:rsidR="00C067DA" w:rsidRPr="00081FDD" w:rsidRDefault="00C067DA" w:rsidP="00081FDD">
      <w:pPr>
        <w:pStyle w:val="Stilsursa"/>
      </w:pPr>
      <w:r w:rsidRPr="00081FDD">
        <w:t>Sursa: MIPE</w:t>
      </w:r>
    </w:p>
    <w:p w14:paraId="51E924C2" w14:textId="07485F03" w:rsidR="00C067DA" w:rsidRPr="00081FDD" w:rsidRDefault="00C067DA" w:rsidP="00081FDD">
      <w:pPr>
        <w:pStyle w:val="separatorarticole"/>
      </w:pPr>
      <w:r w:rsidRPr="00081FDD">
        <w:t>*</w:t>
      </w:r>
    </w:p>
    <w:p w14:paraId="6C200627" w14:textId="77777777" w:rsidR="00A5497A" w:rsidRPr="00081FDD" w:rsidRDefault="00A5497A" w:rsidP="00081FDD">
      <w:pPr>
        <w:pStyle w:val="TitluArticolinINFOUE"/>
        <w:rPr>
          <w:lang w:eastAsia="ro-RO"/>
        </w:rPr>
      </w:pPr>
      <w:bookmarkStart w:id="140" w:name="_Toc96929064"/>
      <w:r w:rsidRPr="00081FDD">
        <w:lastRenderedPageBreak/>
        <w:t>Întâlnirile Europene din Transilvania iau în 2022 forma unui hackathon pe teme de sustenabilitate urbană, dezvoltare durabilă și regenerare!</w:t>
      </w:r>
      <w:bookmarkEnd w:id="140"/>
    </w:p>
    <w:p w14:paraId="2398ED32" w14:textId="343B498E" w:rsidR="00A5497A" w:rsidRPr="00081FDD" w:rsidRDefault="00A5497A" w:rsidP="00081FDD">
      <w:pPr>
        <w:pStyle w:val="NormalWeb"/>
        <w:spacing w:before="120" w:beforeAutospacing="0" w:after="0" w:afterAutospacing="0"/>
        <w:jc w:val="center"/>
        <w:rPr>
          <w:rFonts w:ascii="Verdana" w:hAnsi="Verdana"/>
          <w:color w:val="313131"/>
          <w:sz w:val="18"/>
          <w:szCs w:val="18"/>
        </w:rPr>
      </w:pPr>
      <w:r w:rsidRPr="00081FDD">
        <w:rPr>
          <w:rFonts w:ascii="Verdana" w:hAnsi="Verdana"/>
          <w:noProof/>
          <w:color w:val="313131"/>
          <w:sz w:val="18"/>
          <w:szCs w:val="18"/>
          <w:lang w:val="ro-RO" w:eastAsia="ro-RO"/>
        </w:rPr>
        <w:drawing>
          <wp:inline distT="0" distB="0" distL="0" distR="0" wp14:anchorId="2C9BB29D" wp14:editId="48F0CD43">
            <wp:extent cx="5641499" cy="2953888"/>
            <wp:effectExtent l="0" t="0" r="0" b="0"/>
            <wp:docPr id="45" name="Picture 45" descr="https://www.fonduri-structurale.ro/uploads/media/default/0001/36/e56a2f20a13db9beb67d31afaea6e7f475c2e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fonduri-structurale.ro/uploads/media/default/0001/36/e56a2f20a13db9beb67d31afaea6e7f475c2ee45.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47130" cy="2956837"/>
                    </a:xfrm>
                    <a:prstGeom prst="rect">
                      <a:avLst/>
                    </a:prstGeom>
                    <a:noFill/>
                    <a:ln>
                      <a:noFill/>
                    </a:ln>
                  </pic:spPr>
                </pic:pic>
              </a:graphicData>
            </a:graphic>
          </wp:inline>
        </w:drawing>
      </w:r>
    </w:p>
    <w:p w14:paraId="3CD067B6" w14:textId="77777777" w:rsidR="00A5497A" w:rsidRPr="00081FDD" w:rsidRDefault="00A5497A" w:rsidP="00081FDD">
      <w:pPr>
        <w:pStyle w:val="NormalWeb"/>
        <w:spacing w:before="120" w:beforeAutospacing="0" w:after="0" w:afterAutospacing="0"/>
        <w:jc w:val="center"/>
        <w:rPr>
          <w:rFonts w:ascii="Verdana" w:hAnsi="Verdana"/>
          <w:color w:val="313131"/>
          <w:sz w:val="18"/>
          <w:szCs w:val="18"/>
        </w:rPr>
      </w:pPr>
      <w:r w:rsidRPr="00081FDD">
        <w:rPr>
          <w:rFonts w:ascii="Verdana" w:hAnsi="Verdana"/>
          <w:color w:val="313131"/>
          <w:sz w:val="18"/>
          <w:szCs w:val="18"/>
        </w:rPr>
        <w:t> </w:t>
      </w:r>
    </w:p>
    <w:p w14:paraId="22279513"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În perioada </w:t>
      </w:r>
      <w:r w:rsidRPr="00081FDD">
        <w:rPr>
          <w:rStyle w:val="Strong"/>
          <w:color w:val="313131"/>
        </w:rPr>
        <w:t>8 – 10 aprilie 2022</w:t>
      </w:r>
      <w:r w:rsidRPr="00081FDD">
        <w:rPr>
          <w:rFonts w:ascii="Verdana" w:hAnsi="Verdana"/>
          <w:color w:val="313131"/>
          <w:sz w:val="18"/>
          <w:szCs w:val="18"/>
        </w:rPr>
        <w:t>, Ambasada Franţei în România, Institutul Francez în parteneriat cu ROTSA (Romanian Tech Startups Association) și ClujHub organizează Întâlnirile Europene din Transilvania sub forma unui hackathon, </w:t>
      </w:r>
      <w:r w:rsidRPr="00081FDD">
        <w:rPr>
          <w:rStyle w:val="Strong"/>
          <w:color w:val="313131"/>
          <w:u w:val="single"/>
        </w:rPr>
        <w:t>#</w:t>
      </w:r>
      <w:hyperlink r:id="rId19" w:tgtFrame="_blank" w:history="1">
        <w:r w:rsidRPr="00081FDD">
          <w:rPr>
            <w:rStyle w:val="Strong"/>
            <w:color w:val="0000FF"/>
            <w:u w:val="single"/>
          </w:rPr>
          <w:t>SustainCityHack - Urban mobility l Regeneration l Planning &amp; Development</w:t>
        </w:r>
      </w:hyperlink>
      <w:r w:rsidRPr="00081FDD">
        <w:rPr>
          <w:rStyle w:val="Strong"/>
          <w:color w:val="313131"/>
        </w:rPr>
        <w:t>,</w:t>
      </w:r>
      <w:r w:rsidRPr="00081FDD">
        <w:rPr>
          <w:rFonts w:ascii="Verdana" w:hAnsi="Verdana"/>
          <w:color w:val="313131"/>
          <w:sz w:val="18"/>
          <w:szCs w:val="18"/>
        </w:rPr>
        <w:t> online pe tema mobilității, regenerării și planificării urbane în vederea dezvoltării sustenabile a orașelor.</w:t>
      </w:r>
    </w:p>
    <w:p w14:paraId="638EB937"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Timp de 36 de ore participanții vor putea dezvolta</w:t>
      </w:r>
      <w:r w:rsidRPr="00081FDD">
        <w:rPr>
          <w:rStyle w:val="Strong"/>
          <w:color w:val="313131"/>
        </w:rPr>
        <w:t>, în echipă de 3-5 membri</w:t>
      </w:r>
      <w:r w:rsidRPr="00081FDD">
        <w:rPr>
          <w:rFonts w:ascii="Verdana" w:hAnsi="Verdana"/>
          <w:color w:val="313131"/>
          <w:sz w:val="18"/>
          <w:szCs w:val="18"/>
        </w:rPr>
        <w:t>, o soluție inovatoare pentru a ajuta </w:t>
      </w:r>
      <w:r w:rsidRPr="00081FDD">
        <w:rPr>
          <w:rStyle w:val="Strong"/>
          <w:color w:val="313131"/>
        </w:rPr>
        <w:t>concentrările urbane să-și utilizeze resursele într-un mod mai eficient</w:t>
      </w:r>
      <w:r w:rsidRPr="00081FDD">
        <w:rPr>
          <w:rFonts w:ascii="Verdana" w:hAnsi="Verdana"/>
          <w:color w:val="313131"/>
          <w:sz w:val="18"/>
          <w:szCs w:val="18"/>
        </w:rPr>
        <w:t> și să creeze </w:t>
      </w:r>
      <w:r w:rsidRPr="00081FDD">
        <w:rPr>
          <w:rStyle w:val="Strong"/>
          <w:color w:val="313131"/>
        </w:rPr>
        <w:t>medii urbane sustenabile prin explorarea legăturilor dintre zonele urbane și periferii</w:t>
      </w:r>
      <w:r w:rsidRPr="00081FDD">
        <w:rPr>
          <w:rFonts w:ascii="Verdana" w:hAnsi="Verdana"/>
          <w:color w:val="313131"/>
          <w:sz w:val="18"/>
          <w:szCs w:val="18"/>
        </w:rPr>
        <w:t> (comune, sate).</w:t>
      </w:r>
    </w:p>
    <w:p w14:paraId="75645F79"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Pe parcursul concursului, echipele vor putea beneficia de expertiza mentorilor, români și francezi. Înscrierile la eveniment se pot face exclusiv în echipă, prin completarea </w:t>
      </w:r>
      <w:hyperlink r:id="rId20" w:tgtFrame="_blank" w:history="1">
        <w:r w:rsidRPr="00081FDD">
          <w:rPr>
            <w:rStyle w:val="Hyperlink"/>
          </w:rPr>
          <w:t>acestui formular</w:t>
        </w:r>
      </w:hyperlink>
      <w:r w:rsidRPr="00081FDD">
        <w:rPr>
          <w:rStyle w:val="Emphasis"/>
          <w:color w:val="313131"/>
        </w:rPr>
        <w:t>,</w:t>
      </w:r>
      <w:r w:rsidRPr="00081FDD">
        <w:rPr>
          <w:rFonts w:ascii="Verdana" w:hAnsi="Verdana"/>
          <w:color w:val="313131"/>
          <w:sz w:val="18"/>
          <w:szCs w:val="18"/>
        </w:rPr>
        <w:t> data limită de înscriere fiind </w:t>
      </w:r>
      <w:r w:rsidRPr="00081FDD">
        <w:rPr>
          <w:rStyle w:val="Strong"/>
          <w:color w:val="313131"/>
        </w:rPr>
        <w:t>7 aprilie</w:t>
      </w:r>
      <w:r w:rsidRPr="00081FDD">
        <w:rPr>
          <w:rFonts w:ascii="Verdana" w:hAnsi="Verdana"/>
          <w:color w:val="313131"/>
          <w:sz w:val="18"/>
          <w:szCs w:val="18"/>
        </w:rPr>
        <w:t> (inclusiv).</w:t>
      </w:r>
    </w:p>
    <w:p w14:paraId="26AFA5C3"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Evenimentul se va desfășura online pe platforma Discord, iar limba de comunicare va fi engleză.</w:t>
      </w:r>
    </w:p>
    <w:p w14:paraId="3B76E69B"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Provocările pentru care echipele trebuie să găsească soluții:</w:t>
      </w:r>
    </w:p>
    <w:p w14:paraId="5B79AE0F" w14:textId="77777777" w:rsidR="00A5497A" w:rsidRPr="00081FDD" w:rsidRDefault="00A5497A" w:rsidP="00081FDD">
      <w:pPr>
        <w:numPr>
          <w:ilvl w:val="0"/>
          <w:numId w:val="38"/>
        </w:numPr>
        <w:rPr>
          <w:color w:val="313131"/>
          <w:szCs w:val="18"/>
        </w:rPr>
      </w:pPr>
      <w:r w:rsidRPr="00081FDD">
        <w:rPr>
          <w:rStyle w:val="Strong"/>
          <w:color w:val="313131"/>
        </w:rPr>
        <w:t>Mobilitate urbană</w:t>
      </w:r>
      <w:r w:rsidRPr="00081FDD">
        <w:rPr>
          <w:color w:val="313131"/>
          <w:szCs w:val="18"/>
        </w:rPr>
        <w:t> - dezvoltarea mobilității urbane durabile necesită definirea unor moduri alternative de transport public și trebuie să urmărească îmbunătățirea calității vieții locuitorilor orașului prin asigurarea serviciilor de care au nevoie în apropierea locuinței;</w:t>
      </w:r>
    </w:p>
    <w:p w14:paraId="661768E9" w14:textId="77777777" w:rsidR="00A5497A" w:rsidRPr="00081FDD" w:rsidRDefault="00A5497A" w:rsidP="00081FDD">
      <w:pPr>
        <w:numPr>
          <w:ilvl w:val="0"/>
          <w:numId w:val="38"/>
        </w:numPr>
        <w:rPr>
          <w:color w:val="313131"/>
          <w:szCs w:val="18"/>
        </w:rPr>
      </w:pPr>
      <w:r w:rsidRPr="00081FDD">
        <w:rPr>
          <w:rStyle w:val="Strong"/>
          <w:color w:val="313131"/>
        </w:rPr>
        <w:t>Regenerare urbană</w:t>
      </w:r>
      <w:r w:rsidRPr="00081FDD">
        <w:rPr>
          <w:color w:val="313131"/>
          <w:szCs w:val="18"/>
        </w:rPr>
        <w:t> - regenerarea urbană vizează revitalizarea spațiilor urbane, renovarea patrimoniului urban și plasarea culturii în centrul conviețuirii, transformând orașele în locuri de trai agreabile;</w:t>
      </w:r>
    </w:p>
    <w:p w14:paraId="2B20AF54" w14:textId="77777777" w:rsidR="00A5497A" w:rsidRPr="00081FDD" w:rsidRDefault="00A5497A" w:rsidP="00081FDD">
      <w:pPr>
        <w:numPr>
          <w:ilvl w:val="0"/>
          <w:numId w:val="38"/>
        </w:numPr>
        <w:rPr>
          <w:color w:val="313131"/>
          <w:szCs w:val="18"/>
        </w:rPr>
      </w:pPr>
      <w:r w:rsidRPr="00081FDD">
        <w:rPr>
          <w:rStyle w:val="Strong"/>
          <w:color w:val="313131"/>
        </w:rPr>
        <w:t>Planificare urbană</w:t>
      </w:r>
      <w:r w:rsidRPr="00081FDD">
        <w:rPr>
          <w:color w:val="313131"/>
          <w:szCs w:val="18"/>
        </w:rPr>
        <w:t> - dezvoltare durabilă și prospectivă - dezvoltarea urbană durabilă trebuie să se bazeze pe o organizare spațială care să țină cont de provocările schimbărilor climatice și care să asigure calitatea aerului și a apei, energie curată, respect pentru biodiversitate.</w:t>
      </w:r>
    </w:p>
    <w:p w14:paraId="1FF2E696"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Style w:val="Strong"/>
          <w:color w:val="313131"/>
        </w:rPr>
        <w:t>Mentorii </w:t>
      </w:r>
      <w:r w:rsidRPr="00081FDD">
        <w:rPr>
          <w:rFonts w:ascii="Verdana" w:hAnsi="Verdana"/>
          <w:color w:val="313131"/>
          <w:sz w:val="18"/>
          <w:szCs w:val="18"/>
        </w:rPr>
        <w:t xml:space="preserve">care s-au alăturat până în prezent evenimentului: Șuteu Adrian - Operations Manager @Transylvania Angels Network; Daniel Andor - Founder &amp; Lead Product Designer @Durran; Birlea Tudor - Partnerships &amp; Expansion @Digital 2 Law; Vadan Mircea - Manager @Activize; Lupu Florian Georgina - CEO @Wolfpack Digital; Simona Paraschiv - Președinte @Asociatia InspirAction; Choban Philip - CEO </w:t>
      </w:r>
      <w:r w:rsidRPr="00081FDD">
        <w:rPr>
          <w:rFonts w:ascii="Verdana" w:hAnsi="Verdana"/>
          <w:color w:val="313131"/>
          <w:sz w:val="18"/>
          <w:szCs w:val="18"/>
        </w:rPr>
        <w:lastRenderedPageBreak/>
        <w:t>@Telios Care; Merza Karla - Entrepreneur &amp; Agile Coach; Bricov Alex - Designer / Creative @UEFISCDI; Preluca Raluca - Partner &amp; Senior Consultant @fonduri-structurale.ro/ Co-founder @consolid8.ro, Șerban Țigănaș - Arhitect.</w:t>
      </w:r>
    </w:p>
    <w:p w14:paraId="4484BD64"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Din </w:t>
      </w:r>
      <w:r w:rsidRPr="00081FDD">
        <w:rPr>
          <w:rStyle w:val="Strong"/>
          <w:color w:val="313131"/>
        </w:rPr>
        <w:t>juriu</w:t>
      </w:r>
      <w:r w:rsidRPr="00081FDD">
        <w:rPr>
          <w:rFonts w:ascii="Verdana" w:hAnsi="Verdana"/>
          <w:color w:val="313131"/>
          <w:sz w:val="18"/>
          <w:szCs w:val="18"/>
        </w:rPr>
        <w:t> fac parte până acum: Lupu Florian Georgina - CEO @Wolfpack Digital; Giustiniani Joseph - Atașat de cooperare @Ambasada Franței în România; Ignat Smaranda - Co-founder @PropTech Romania; Pasc Tudor - Manager @ClujHub, Ovidiu Cîmpean - Directorul Direcției de comunicare, dezvoltare locală și management de proiecte @Primăria Cluj-Napoca.</w:t>
      </w:r>
    </w:p>
    <w:p w14:paraId="3362884F"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Style w:val="Strong"/>
          <w:color w:val="313131"/>
        </w:rPr>
        <w:t>Fonduri-structurale.ro</w:t>
      </w:r>
      <w:r w:rsidRPr="00081FDD">
        <w:rPr>
          <w:rFonts w:ascii="Verdana" w:hAnsi="Verdana"/>
          <w:color w:val="313131"/>
          <w:sz w:val="18"/>
          <w:szCs w:val="18"/>
        </w:rPr>
        <w:t> &amp; </w:t>
      </w:r>
      <w:hyperlink r:id="rId21" w:tgtFrame="_blank" w:history="1">
        <w:r w:rsidRPr="00081FDD">
          <w:rPr>
            <w:rStyle w:val="Strong"/>
            <w:color w:val="0000FF"/>
            <w:u w:val="single"/>
          </w:rPr>
          <w:t>consolid8</w:t>
        </w:r>
      </w:hyperlink>
      <w:r w:rsidRPr="00081FDD">
        <w:rPr>
          <w:rFonts w:ascii="Verdana" w:hAnsi="Verdana"/>
          <w:color w:val="313131"/>
          <w:sz w:val="18"/>
          <w:szCs w:val="18"/>
        </w:rPr>
        <w:t> sunt parteneri ai #SustainCityHack, alături de alte peste 20 de organizații.</w:t>
      </w:r>
    </w:p>
    <w:p w14:paraId="2BB09B4C" w14:textId="71C9CC14" w:rsidR="00A5497A" w:rsidRPr="00081FDD" w:rsidRDefault="00081FDD" w:rsidP="00081FDD">
      <w:pPr>
        <w:pStyle w:val="Stilsursa"/>
      </w:pPr>
      <w:r>
        <w:t xml:space="preserve">Sursa: </w:t>
      </w:r>
      <w:r w:rsidR="00A5497A" w:rsidRPr="00081FDD">
        <w:t>fonduri-structurale.ro</w:t>
      </w:r>
    </w:p>
    <w:p w14:paraId="5F1FA826" w14:textId="618189CD" w:rsidR="00A5497A" w:rsidRPr="00081FDD" w:rsidRDefault="00A5497A" w:rsidP="00081FDD">
      <w:pPr>
        <w:pStyle w:val="separatorarticole"/>
      </w:pPr>
      <w:r w:rsidRPr="00081FDD">
        <w:t>*</w:t>
      </w:r>
    </w:p>
    <w:p w14:paraId="023FDEEB" w14:textId="77777777" w:rsidR="00A5497A" w:rsidRPr="00081FDD" w:rsidRDefault="00A5497A" w:rsidP="00081FDD">
      <w:pPr>
        <w:pStyle w:val="TitluArticolinINFOUE"/>
        <w:rPr>
          <w:lang w:eastAsia="ro-RO"/>
        </w:rPr>
      </w:pPr>
      <w:bookmarkStart w:id="141" w:name="_Toc96929065"/>
      <w:r w:rsidRPr="00081FDD">
        <w:t>Proiectele eligibile și mature care nu au primit finanțare prin POIM vor fi preluate de către MDLPA pentru finanțare</w:t>
      </w:r>
      <w:bookmarkEnd w:id="141"/>
    </w:p>
    <w:p w14:paraId="675788D4"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Ministerul Dezvoltării, Lucrărilor Publice și Administrației va prelua finanțarea proiectelor eligibile, mature, depuse la Ministerul Investițiilor și Proiectelor Europene (MIPE), care nu au primit finanțare prin Programul Operațional Infrastructură Mare, cu un buget suplimentar de 5,5 miliarde de lei, și va lansa, în martie, apelul pentru investițiile în rețeaua de gaze din Programul „Anghel Saligny”, conform ministrului Cseke Attila. Vor fi preluate proiecte din POIM care sunt mature, care au studiile de fezabilitate și proiectele tehnice efectuate și au primit avizele necesare, astfel încât pot intra în procesul de achiziție publică mult mai repede.</w:t>
      </w:r>
    </w:p>
    <w:p w14:paraId="24291459"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Prin Programul Operațional Infrastructură Mare (POIM), MIPE a primit peste o sută de cereri de finanțare, dar bugetul a permis doar finanțarea a 25 de proiecte.</w:t>
      </w:r>
    </w:p>
    <w:p w14:paraId="56FE50F4"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w:t>
      </w:r>
      <w:r w:rsidRPr="00081FDD">
        <w:rPr>
          <w:rStyle w:val="Emphasis"/>
          <w:color w:val="313131"/>
        </w:rPr>
        <w:t>Având în vedere că, din restul de 108 proiecte depuse, 105 au fost considerate eligibile și nu au primit finanțare pentru că bugetul a fost epuizat, vom aloca acum, prin Programul Național de Investiții &lt;&lt;Anghel Saligny&gt;&gt;, 5,5 miliarde de lei și vom finanța aceste 105 proiecte de dezvoltare a infrastructurii de distribuire a gazelor naturale. Astfel, bugetul total al Programului &lt;&lt;Anghel Saligny&gt;&gt; va crește la 55,5 miliarde de lei</w:t>
      </w:r>
      <w:r w:rsidRPr="00081FDD">
        <w:rPr>
          <w:rFonts w:ascii="Verdana" w:hAnsi="Verdana"/>
          <w:color w:val="313131"/>
          <w:sz w:val="18"/>
          <w:szCs w:val="18"/>
        </w:rPr>
        <w:t>”, a subliniat Cseke Attila.</w:t>
      </w:r>
    </w:p>
    <w:p w14:paraId="75748A70"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Prin POIM, 95 de comune, 6 orașe și 4 municipii au cerut finanțare pentru dezvoltarea rețelei de distribuție a gazelor naturale.</w:t>
      </w:r>
    </w:p>
    <w:p w14:paraId="12EFD6D0"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În prima parte a lunii martie 2022, va fi lansat apelul de proiecte pentru investițiile în rețeaua de gaze, finanțat prin „Anghel Saligny”, cu un buget total de 7,5 miliarde de lei, se arată în comunicatul publicat de minister ieri, 21 februarie 2022.</w:t>
      </w:r>
    </w:p>
    <w:p w14:paraId="1610A13D"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Conform comunicatului, MDLPA urmează să propună Guvernului, spre aprobare, un proiect de Ordonanță de Urgență pentru transferarea acestor proiecte, urmând ca MIPE, în termen de 15 zile de la aprobarea acesteia, să transfere proiectele la Ministerul Dezvoltării.</w:t>
      </w:r>
    </w:p>
    <w:p w14:paraId="17065311" w14:textId="77777777" w:rsidR="00A5497A" w:rsidRPr="00081FDD" w:rsidRDefault="00A5497A" w:rsidP="00081FDD">
      <w:pPr>
        <w:pStyle w:val="Stilsursa"/>
      </w:pPr>
      <w:r w:rsidRPr="00081FDD">
        <w:t>Sursa: MDLPA</w:t>
      </w:r>
    </w:p>
    <w:p w14:paraId="0DF0E13B" w14:textId="68AD659A" w:rsidR="00A5497A" w:rsidRPr="00081FDD" w:rsidRDefault="00A5497A" w:rsidP="00081FDD">
      <w:pPr>
        <w:pStyle w:val="separatorarticole"/>
      </w:pPr>
      <w:r w:rsidRPr="00081FDD">
        <w:t>*</w:t>
      </w:r>
    </w:p>
    <w:p w14:paraId="2AC76924" w14:textId="77777777" w:rsidR="00A5497A" w:rsidRPr="00081FDD" w:rsidRDefault="00A5497A" w:rsidP="00AE5EA7">
      <w:pPr>
        <w:pStyle w:val="TitluArticolinINFOUE"/>
        <w:rPr>
          <w:lang w:eastAsia="ro-RO"/>
        </w:rPr>
      </w:pPr>
      <w:bookmarkStart w:id="142" w:name="_Toc96929066"/>
      <w:r w:rsidRPr="00081FDD">
        <w:t>Orice localitate de rangul 0, I, II sau III este invitată să își depună candidatura în vederea obținerii titlului de „Capitala Tineretului din România”! Premiul se ridică la 50.000 euro</w:t>
      </w:r>
      <w:bookmarkEnd w:id="142"/>
    </w:p>
    <w:p w14:paraId="3F195768"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Orice localitate de rangul 0, I, II sau III (municipii și orașe) din România își poate depune până la data de 2 iunie 2022, candidatura în vederea dobândirii titlului „Capitala Tineretului din România” pentru perioada 1 ianuarie – 31 decembrie 2024.</w:t>
      </w:r>
    </w:p>
    <w:p w14:paraId="4A3AF5A4"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Programul „Capitala Tineretului din România” urmărește crearea unor zone urbane ale României care oferă oportunități adaptate dinamic la nevoile unei stări de bine generalizate și satisfacții de viață crescute, perspectivele de viitor și implicarea activă a tinerilor în comunitate în contextul secolului XXI.</w:t>
      </w:r>
    </w:p>
    <w:p w14:paraId="52EE6BA5"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Orașul câștigător va beneficia de un premiu financiar în valoare de 50.000 euro din partea Băncii Comerciale Române. Titlul va oferi și oportunitatea de a atrage alte surse de finanțare din diferite surse publice și private și deținătorul său va beneficia de asemenea de posibilitatea de a găzdui diferite evenimente de rang național organizate de instituții publice și rețele de tineret din România.</w:t>
      </w:r>
    </w:p>
    <w:p w14:paraId="1FA47555"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lastRenderedPageBreak/>
        <w:t>Orașul câștigător are dreptul de a găzdui Summitul Tinerilor, cel mai important eveniment de celebrare, dezbatere și decizie al mișcării de tineret din România. De asemenea, câștigătorul va găzdui ediția din 2024 a Galei Tineretului din România.</w:t>
      </w:r>
    </w:p>
    <w:p w14:paraId="0335EFEF" w14:textId="77777777" w:rsidR="00A5497A" w:rsidRPr="00081FDD" w:rsidRDefault="00A5497A" w:rsidP="00081FDD">
      <w:pPr>
        <w:pStyle w:val="NormalWeb"/>
        <w:spacing w:before="120" w:beforeAutospacing="0" w:after="0" w:afterAutospacing="0"/>
        <w:rPr>
          <w:rFonts w:ascii="Verdana" w:hAnsi="Verdana"/>
          <w:color w:val="313131"/>
          <w:sz w:val="18"/>
          <w:szCs w:val="18"/>
        </w:rPr>
      </w:pPr>
      <w:r w:rsidRPr="00081FDD">
        <w:rPr>
          <w:rFonts w:ascii="Verdana" w:hAnsi="Verdana"/>
          <w:color w:val="313131"/>
          <w:sz w:val="18"/>
          <w:szCs w:val="18"/>
        </w:rPr>
        <w:t>Pentru mai multe informații puteți consulta rubrica noastră de </w:t>
      </w:r>
      <w:hyperlink r:id="rId22" w:tgtFrame="_blank" w:history="1">
        <w:r w:rsidRPr="00081FDD">
          <w:rPr>
            <w:rStyle w:val="Emphasis"/>
            <w:b/>
            <w:bCs/>
            <w:color w:val="0000FF"/>
            <w:u w:val="single"/>
          </w:rPr>
          <w:t>alte finanțări</w:t>
        </w:r>
      </w:hyperlink>
      <w:r w:rsidRPr="00081FDD">
        <w:rPr>
          <w:rFonts w:ascii="Verdana" w:hAnsi="Verdana"/>
          <w:color w:val="313131"/>
          <w:sz w:val="18"/>
          <w:szCs w:val="18"/>
        </w:rPr>
        <w:t>.</w:t>
      </w:r>
    </w:p>
    <w:p w14:paraId="7E212D86" w14:textId="77777777" w:rsidR="00A5497A" w:rsidRPr="00081FDD" w:rsidRDefault="00A5497A" w:rsidP="00AE5EA7">
      <w:pPr>
        <w:pStyle w:val="Stilsursa"/>
      </w:pPr>
      <w:r w:rsidRPr="00081FDD">
        <w:t>Sursa: www.capitalatineretului.ro</w:t>
      </w:r>
    </w:p>
    <w:p w14:paraId="086CB492" w14:textId="793F3F89" w:rsidR="00A5497A" w:rsidRPr="00081FDD" w:rsidRDefault="00A5497A" w:rsidP="00AE5EA7">
      <w:pPr>
        <w:pStyle w:val="separatorarticole"/>
      </w:pPr>
      <w:r w:rsidRPr="00081FDD">
        <w:t>*</w:t>
      </w:r>
    </w:p>
    <w:p w14:paraId="59DC7347" w14:textId="77777777" w:rsidR="00A5497A" w:rsidRPr="00081FDD" w:rsidRDefault="00A5497A" w:rsidP="00081FDD">
      <w:pPr>
        <w:rPr>
          <w:szCs w:val="18"/>
        </w:rPr>
      </w:pPr>
    </w:p>
    <w:p w14:paraId="0BADA8B5" w14:textId="1454088F" w:rsidR="001F1F20" w:rsidRPr="00081FDD" w:rsidRDefault="001F1F20" w:rsidP="00AE5EA7">
      <w:pPr>
        <w:pStyle w:val="TitluArticolinINFOUE"/>
      </w:pPr>
      <w:bookmarkStart w:id="143" w:name="_Toc96929067"/>
      <w:r w:rsidRPr="00081FDD">
        <w:t xml:space="preserve">2022 </w:t>
      </w:r>
      <w:r w:rsidR="0020602B" w:rsidRPr="00081FDD">
        <w:t>–</w:t>
      </w:r>
      <w:r w:rsidRPr="00081FDD">
        <w:t xml:space="preserve"> An</w:t>
      </w:r>
      <w:r w:rsidR="0020602B" w:rsidRPr="00081FDD">
        <w:t>ul European al Tineretului</w:t>
      </w:r>
      <w:bookmarkEnd w:id="143"/>
    </w:p>
    <w:p w14:paraId="233A72D5" w14:textId="51BEF040" w:rsidR="0020602B" w:rsidRPr="00081FDD" w:rsidRDefault="0020602B" w:rsidP="00AE5EA7">
      <w:pPr>
        <w:jc w:val="center"/>
        <w:rPr>
          <w:szCs w:val="18"/>
        </w:rPr>
      </w:pPr>
      <w:r w:rsidRPr="00081FDD">
        <w:rPr>
          <w:noProof/>
          <w:szCs w:val="18"/>
          <w:lang w:eastAsia="ro-RO"/>
        </w:rPr>
        <w:drawing>
          <wp:inline distT="0" distB="0" distL="0" distR="0" wp14:anchorId="2513A13E" wp14:editId="39561D88">
            <wp:extent cx="5529532" cy="15867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532471" cy="1587558"/>
                    </a:xfrm>
                    <a:prstGeom prst="rect">
                      <a:avLst/>
                    </a:prstGeom>
                    <a:ln>
                      <a:noFill/>
                    </a:ln>
                    <a:extLst>
                      <a:ext uri="{53640926-AAD7-44D8-BBD7-CCE9431645EC}">
                        <a14:shadowObscured xmlns:a14="http://schemas.microsoft.com/office/drawing/2010/main"/>
                      </a:ext>
                    </a:extLst>
                  </pic:spPr>
                </pic:pic>
              </a:graphicData>
            </a:graphic>
          </wp:inline>
        </w:drawing>
      </w:r>
    </w:p>
    <w:p w14:paraId="3D95C064"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Comisia salută acordul politic la care au ajuns ieri seară Parlamentul European și Consiliul de a declara anul 2022 drept Anul european al tineretului. În urma anunțului făcut de președinta </w:t>
      </w:r>
      <w:r w:rsidRPr="00081FDD">
        <w:rPr>
          <w:rFonts w:ascii="Verdana" w:hAnsi="Verdana"/>
          <w:b/>
          <w:bCs/>
          <w:sz w:val="18"/>
          <w:szCs w:val="18"/>
        </w:rPr>
        <w:t>von der Leyen</w:t>
      </w:r>
      <w:r w:rsidRPr="00081FDD">
        <w:rPr>
          <w:rFonts w:ascii="Verdana" w:hAnsi="Verdana"/>
          <w:sz w:val="18"/>
          <w:szCs w:val="18"/>
        </w:rPr>
        <w:t> în</w:t>
      </w:r>
      <w:hyperlink r:id="rId24" w:history="1">
        <w:r w:rsidRPr="00081FDD">
          <w:rPr>
            <w:rStyle w:val="Hyperlink"/>
            <w:color w:val="004494"/>
          </w:rPr>
          <w:t> discursul său din 2021 privind starea Uniunii</w:t>
        </w:r>
      </w:hyperlink>
      <w:r w:rsidRPr="00081FDD">
        <w:rPr>
          <w:rFonts w:ascii="Verdana" w:hAnsi="Verdana"/>
          <w:sz w:val="18"/>
          <w:szCs w:val="18"/>
        </w:rPr>
        <w:t>, potrivit căruia 2022 ar trebui să fie un an consacrat celor care s-au devotat atât de mult altora, Comisia a prezentat colegiuitorilor, în octombrie, </w:t>
      </w:r>
      <w:hyperlink r:id="rId25" w:history="1">
        <w:r w:rsidRPr="00081FDD">
          <w:rPr>
            <w:rStyle w:val="Hyperlink"/>
            <w:color w:val="004494"/>
          </w:rPr>
          <w:t>propunerea sa oficială</w:t>
        </w:r>
      </w:hyperlink>
      <w:r w:rsidRPr="00081FDD">
        <w:rPr>
          <w:rFonts w:ascii="Verdana" w:hAnsi="Verdana"/>
          <w:sz w:val="18"/>
          <w:szCs w:val="18"/>
        </w:rPr>
        <w:t> de a desemna anul 2022 drept Anul european al tineretului.</w:t>
      </w:r>
    </w:p>
    <w:p w14:paraId="35029379" w14:textId="77777777" w:rsidR="0020602B" w:rsidRPr="00081FDD" w:rsidRDefault="0020602B" w:rsidP="00081FDD">
      <w:pPr>
        <w:pStyle w:val="5normal"/>
        <w:spacing w:before="120" w:beforeAutospacing="0" w:after="0" w:afterAutospacing="0"/>
        <w:rPr>
          <w:rFonts w:ascii="Verdana" w:hAnsi="Verdana"/>
          <w:sz w:val="18"/>
          <w:szCs w:val="18"/>
        </w:rPr>
      </w:pPr>
      <w:r w:rsidRPr="00081FDD">
        <w:rPr>
          <w:rFonts w:ascii="Verdana" w:hAnsi="Verdana"/>
          <w:sz w:val="18"/>
          <w:szCs w:val="18"/>
        </w:rPr>
        <w:t>Pe parcursul anului 2022, Comisia va coordona o serie de activități în strânsă legătură cu Parlamentul European, statele membre, autoritățile regionale și locale, organizațiile de tineret și tinerii înșiși. Inițiativele în curs de elaborare în cadrul Anului european al tineretului vor beneficia de un sprijin în valoare de 8 milioane EUR din cadrul Erasmus+ și al Corpului european de solidaritate, un mecanism specific de finanțare complementar pentru Anul european al tineretului decis de autoritatea bugetară pentru 2022. Alte programe și instrumente ale Uniunii vor contribui, de asemenea, în mod semnificativ la obiectivele și activitățile Anului european al tineretului. Tinerii europeni vor beneficia de multe oportunități de a dobândi cunoștințe, aptitudini și competențe pentru dezvoltarea lor profesională și de a-și consolida angajamentul civic pentru a modela viitorul Europei.</w:t>
      </w:r>
    </w:p>
    <w:p w14:paraId="3EE045F3"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Margaritis </w:t>
      </w:r>
      <w:r w:rsidRPr="00081FDD">
        <w:rPr>
          <w:rFonts w:ascii="Verdana" w:hAnsi="Verdana"/>
          <w:b/>
          <w:bCs/>
          <w:sz w:val="18"/>
          <w:szCs w:val="18"/>
        </w:rPr>
        <w:t>Schinas</w:t>
      </w:r>
      <w:r w:rsidRPr="00081FDD">
        <w:rPr>
          <w:rFonts w:ascii="Verdana" w:hAnsi="Verdana"/>
          <w:sz w:val="18"/>
          <w:szCs w:val="18"/>
        </w:rPr>
        <w:t>, vicepreședinte pentru promovarea modului nostru de viață european, a declarat: </w:t>
      </w:r>
      <w:r w:rsidRPr="00081FDD">
        <w:rPr>
          <w:rStyle w:val="Emphasis"/>
        </w:rPr>
        <w:t>„Acest acord este un element esențial al politicii noastre pentru tineret. Bugetul dedicat acestui An european va sprijini acțiunile noastre emblematice. Cu ocazia Anului european al tineretului 2022, sprijinim tinerii europeni să apere și să promoveze libertatea, valorile, oportunitățile și solidaritatea. Avem această datorie față de generațiile care au avut cel mai mult de suferit în timpul pandemiei și care acum trebuie să își continue viața.”</w:t>
      </w:r>
    </w:p>
    <w:p w14:paraId="3CE84F92"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Mariya </w:t>
      </w:r>
      <w:r w:rsidRPr="00081FDD">
        <w:rPr>
          <w:rFonts w:ascii="Verdana" w:hAnsi="Verdana"/>
          <w:b/>
          <w:bCs/>
          <w:sz w:val="18"/>
          <w:szCs w:val="18"/>
        </w:rPr>
        <w:t>Gabriel</w:t>
      </w:r>
      <w:r w:rsidRPr="00081FDD">
        <w:rPr>
          <w:rFonts w:ascii="Verdana" w:hAnsi="Verdana"/>
          <w:sz w:val="18"/>
          <w:szCs w:val="18"/>
        </w:rPr>
        <w:t>, comisarul pentru inovare, cercetare, cultură, educație și tineret, a declarat: „</w:t>
      </w:r>
      <w:r w:rsidRPr="00081FDD">
        <w:rPr>
          <w:rFonts w:ascii="Verdana" w:hAnsi="Verdana"/>
          <w:i/>
          <w:iCs/>
          <w:sz w:val="18"/>
          <w:szCs w:val="18"/>
        </w:rPr>
        <w:t>Mulțumesc colegiuitorilor pentru că au ajuns la un acord privind Anul european al tineretului într-un timp record.</w:t>
      </w:r>
      <w:r w:rsidRPr="00081FDD">
        <w:rPr>
          <w:rStyle w:val="Emphasis"/>
        </w:rPr>
        <w:t> Înțelegem cu toții că este important ca tinerii să fie aduși în prim-plan și să le sărbătorim reziliența după doi ani foarte dificili. Îi invit pe toți tinerii europeni să participe la numeroasele angajamente, inițiative și acțiuni pe care le vom lansa începând cu ianuarie 2022. Dorim ca vocea lor să fie auzită și să le aducem la cunoștință deciziile pe care le vom lua pentru viitorul lor. Dorim ca acest an să conducă la acțiuni concrete care vor avea efecte mult după 2022. Împreună, vom face din acest an un succes.”</w:t>
      </w:r>
    </w:p>
    <w:p w14:paraId="37417B24"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Pentru a onora, sprijini și implica tinerii la toate nivelurile, Anul european al tineretului va urmări </w:t>
      </w:r>
      <w:r w:rsidRPr="00081FDD">
        <w:rPr>
          <w:rFonts w:ascii="Verdana" w:hAnsi="Verdana"/>
          <w:b/>
          <w:bCs/>
          <w:sz w:val="18"/>
          <w:szCs w:val="18"/>
        </w:rPr>
        <w:t>patru obiective</w:t>
      </w:r>
      <w:r w:rsidRPr="00081FDD">
        <w:rPr>
          <w:rFonts w:ascii="Verdana" w:hAnsi="Verdana"/>
          <w:sz w:val="18"/>
          <w:szCs w:val="18"/>
        </w:rPr>
        <w:t>:</w:t>
      </w:r>
    </w:p>
    <w:p w14:paraId="661DEB84" w14:textId="77777777" w:rsidR="0020602B" w:rsidRPr="00081FDD" w:rsidRDefault="0020602B" w:rsidP="00081FDD">
      <w:pPr>
        <w:numPr>
          <w:ilvl w:val="0"/>
          <w:numId w:val="28"/>
        </w:numPr>
        <w:rPr>
          <w:szCs w:val="18"/>
        </w:rPr>
      </w:pPr>
      <w:r w:rsidRPr="00081FDD">
        <w:rPr>
          <w:szCs w:val="18"/>
        </w:rPr>
        <w:t>Reînnoirea perspectivelor pozitive pentru tineri, cu un accent deosebit pe efectele negative pe care pandemia de COVID-19 le-a avut asupra lor, subliniind totodată modul în care </w:t>
      </w:r>
      <w:r w:rsidRPr="00081FDD">
        <w:rPr>
          <w:b/>
          <w:bCs/>
          <w:szCs w:val="18"/>
        </w:rPr>
        <w:t xml:space="preserve">tranziția </w:t>
      </w:r>
      <w:r w:rsidRPr="00081FDD">
        <w:rPr>
          <w:b/>
          <w:bCs/>
          <w:szCs w:val="18"/>
        </w:rPr>
        <w:lastRenderedPageBreak/>
        <w:t>verde și cea digitală</w:t>
      </w:r>
      <w:r w:rsidRPr="00081FDD">
        <w:rPr>
          <w:szCs w:val="18"/>
        </w:rPr>
        <w:t> și alte politici ale Uniunii oferă oportunități pentru tineri și pentru societate în general;</w:t>
      </w:r>
    </w:p>
    <w:p w14:paraId="24E1262F" w14:textId="77777777" w:rsidR="0020602B" w:rsidRPr="00081FDD" w:rsidRDefault="0020602B" w:rsidP="00081FDD">
      <w:pPr>
        <w:numPr>
          <w:ilvl w:val="0"/>
          <w:numId w:val="28"/>
        </w:numPr>
        <w:rPr>
          <w:szCs w:val="18"/>
        </w:rPr>
      </w:pPr>
      <w:r w:rsidRPr="00081FDD">
        <w:rPr>
          <w:szCs w:val="18"/>
        </w:rPr>
        <w:t>Sprijinirea tinerilor, inclusiv prin activități pentru tineret, în special a tinerilor cu mai puține oportunități, din medii defavorizate și diverse sau care aparțin unor grupuri vulnerabile și marginalizate, pentru a dobândi cunoștințe și competențe relevante și pentru a deveni astfel </w:t>
      </w:r>
      <w:r w:rsidRPr="00081FDD">
        <w:rPr>
          <w:b/>
          <w:bCs/>
          <w:szCs w:val="18"/>
        </w:rPr>
        <w:t>cetățeni activi și implicați</w:t>
      </w:r>
      <w:r w:rsidRPr="00081FDD">
        <w:rPr>
          <w:szCs w:val="18"/>
        </w:rPr>
        <w:t>, inspirați de un sentiment european de apartenență;</w:t>
      </w:r>
    </w:p>
    <w:p w14:paraId="6C829CE2" w14:textId="77777777" w:rsidR="0020602B" w:rsidRPr="00081FDD" w:rsidRDefault="0020602B" w:rsidP="00081FDD">
      <w:pPr>
        <w:numPr>
          <w:ilvl w:val="0"/>
          <w:numId w:val="28"/>
        </w:numPr>
        <w:rPr>
          <w:szCs w:val="18"/>
        </w:rPr>
      </w:pPr>
      <w:r w:rsidRPr="00081FDD">
        <w:rPr>
          <w:szCs w:val="18"/>
        </w:rPr>
        <w:t>Sprijinirea tinerilor pentru a </w:t>
      </w:r>
      <w:r w:rsidRPr="00081FDD">
        <w:rPr>
          <w:b/>
          <w:bCs/>
          <w:szCs w:val="18"/>
        </w:rPr>
        <w:t>înțelege mai bine și a promova activ diferitele oportunități de care dispun</w:t>
      </w:r>
      <w:r w:rsidRPr="00081FDD">
        <w:rPr>
          <w:szCs w:val="18"/>
        </w:rPr>
        <w:t>, fie de la nivelul UE, fie de la nivel național, regional sau local, pentru a sprijini dezvoltarea personală, socială, economică și profesională a acestora.</w:t>
      </w:r>
    </w:p>
    <w:p w14:paraId="69C972B3" w14:textId="77777777" w:rsidR="0020602B" w:rsidRPr="00081FDD" w:rsidRDefault="0020602B" w:rsidP="00081FDD">
      <w:pPr>
        <w:numPr>
          <w:ilvl w:val="0"/>
          <w:numId w:val="28"/>
        </w:numPr>
        <w:rPr>
          <w:szCs w:val="18"/>
        </w:rPr>
      </w:pPr>
      <w:r w:rsidRPr="00081FDD">
        <w:rPr>
          <w:b/>
          <w:bCs/>
          <w:szCs w:val="18"/>
        </w:rPr>
        <w:t>Integrarea politicii pentru tineret în toate domeniile de politică relevante ale Uniunii</w:t>
      </w:r>
      <w:r w:rsidRPr="00081FDD">
        <w:rPr>
          <w:szCs w:val="18"/>
        </w:rPr>
        <w:t>, în conformitate cu </w:t>
      </w:r>
      <w:hyperlink r:id="rId26" w:history="1">
        <w:r w:rsidRPr="00081FDD">
          <w:rPr>
            <w:rStyle w:val="Hyperlink"/>
            <w:color w:val="004494"/>
          </w:rPr>
          <w:t>Strategia UE pentru tineret 2019-2027</w:t>
        </w:r>
      </w:hyperlink>
      <w:r w:rsidRPr="00081FDD">
        <w:rPr>
          <w:szCs w:val="18"/>
        </w:rPr>
        <w:t>, pentru a încuraja integrarea punctului de vedere al tinerilor în procesul de elaborare a politicilor la toate nivelurile.</w:t>
      </w:r>
    </w:p>
    <w:p w14:paraId="70422CBE"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Impactul și lecțiile învățate în urma tuturor activităților și oportunităților de implicare ar trebui să fie de lungă durată, depășind cadrul anului 2022. Deși programele existente ale UE dedicate tineretului, cum ar fi </w:t>
      </w:r>
      <w:hyperlink r:id="rId27" w:history="1">
        <w:r w:rsidRPr="00081FDD">
          <w:rPr>
            <w:rStyle w:val="Hyperlink"/>
            <w:color w:val="004494"/>
          </w:rPr>
          <w:t>Erasmus+</w:t>
        </w:r>
      </w:hyperlink>
      <w:r w:rsidRPr="00081FDD">
        <w:rPr>
          <w:rFonts w:ascii="Verdana" w:hAnsi="Verdana"/>
          <w:sz w:val="18"/>
          <w:szCs w:val="18"/>
        </w:rPr>
        <w:t> și </w:t>
      </w:r>
      <w:hyperlink r:id="rId28" w:history="1">
        <w:r w:rsidRPr="00081FDD">
          <w:rPr>
            <w:rStyle w:val="Hyperlink"/>
            <w:color w:val="004494"/>
          </w:rPr>
          <w:t>Corpul european de solidaritate</w:t>
        </w:r>
      </w:hyperlink>
      <w:r w:rsidRPr="00081FDD">
        <w:rPr>
          <w:rFonts w:ascii="Verdana" w:hAnsi="Verdana"/>
          <w:sz w:val="18"/>
          <w:szCs w:val="18"/>
        </w:rPr>
        <w:t>, vor juca, în mod evident, un rol central în punerea în aplicare și finanțarea activităților, Anul european al tineretului își propune să fie transsectorial și să se bazeze pe toate politicile UE.</w:t>
      </w:r>
    </w:p>
    <w:p w14:paraId="35BB6E8F"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Se preconizează lansarea, în cursul Anului european, a mai multor inițiative emblematice în mai multe domenii de politică. Printre acestea se numără, de exemplu, </w:t>
      </w:r>
      <w:r w:rsidRPr="00081FDD">
        <w:rPr>
          <w:rFonts w:ascii="Verdana" w:hAnsi="Verdana"/>
          <w:b/>
          <w:bCs/>
          <w:sz w:val="18"/>
          <w:szCs w:val="18"/>
        </w:rPr>
        <w:t>ALMA</w:t>
      </w:r>
      <w:r w:rsidRPr="00081FDD">
        <w:rPr>
          <w:rFonts w:ascii="Verdana" w:hAnsi="Verdana"/>
          <w:sz w:val="18"/>
          <w:szCs w:val="18"/>
        </w:rPr>
        <w:t> , o nouă inițiativă menită să ajute tinerii care nu sunt încadrați profesional și nu urmează niciun program educațional sau de formare să își găsească drumul către piața muncii prin combinarea sprijinului pentru educație, formare profesională sau angajare în țara lor de origine cu un loc de muncă în altă țară din UE. Anul european al tineretului va merge mână în mână cu </w:t>
      </w:r>
      <w:hyperlink r:id="rId29" w:history="1">
        <w:r w:rsidRPr="00081FDD">
          <w:rPr>
            <w:rStyle w:val="Hyperlink"/>
            <w:color w:val="004494"/>
          </w:rPr>
          <w:t>NextGenerationEU</w:t>
        </w:r>
      </w:hyperlink>
      <w:r w:rsidRPr="00081FDD">
        <w:rPr>
          <w:rFonts w:ascii="Verdana" w:hAnsi="Verdana"/>
          <w:sz w:val="18"/>
          <w:szCs w:val="18"/>
        </w:rPr>
        <w:t>, care redeschide perspective pentru tineri, inclusiv locuri de muncă, oportunități de educație și formare de calitate pentru Europa viitorului, și sprijină participarea tinerilor în societate.</w:t>
      </w:r>
    </w:p>
    <w:p w14:paraId="728D2F66"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La lansarea propunerii sale, Comisia a invitat statele membre să numească un </w:t>
      </w:r>
      <w:r w:rsidRPr="00081FDD">
        <w:rPr>
          <w:rFonts w:ascii="Verdana" w:hAnsi="Verdana"/>
          <w:b/>
          <w:bCs/>
          <w:sz w:val="18"/>
          <w:szCs w:val="18"/>
        </w:rPr>
        <w:t>coordonator național</w:t>
      </w:r>
      <w:r w:rsidRPr="00081FDD">
        <w:rPr>
          <w:rFonts w:ascii="Verdana" w:hAnsi="Verdana"/>
          <w:sz w:val="18"/>
          <w:szCs w:val="18"/>
        </w:rPr>
        <w:t> responsabil cu organizarea participării naționale la Anul european al tineretului. Comisia a organizat o primă reuniune la 16 noiembrie pentru a face schimb de informații cu privire la punerea sa în aplicare.</w:t>
      </w:r>
    </w:p>
    <w:p w14:paraId="2D6058E3"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Pentru ca Anul tineretului să fie un succes, este important ca acesta să fie planificat împreună cu persoanele care vor beneficia cel mai mult de pe urma acestuia. Tinerii și organizațiile de tineret sunt, de asemenea, implicate îndeaproape în organizarea Anului european. În perioada 22 octombrie – 21 noiembrie a fost lansat un </w:t>
      </w:r>
      <w:r w:rsidRPr="00081FDD">
        <w:rPr>
          <w:rFonts w:ascii="Verdana" w:hAnsi="Verdana"/>
          <w:b/>
          <w:bCs/>
          <w:sz w:val="18"/>
          <w:szCs w:val="18"/>
        </w:rPr>
        <w:t>sondaj online</w:t>
      </w:r>
      <w:r w:rsidRPr="00081FDD">
        <w:rPr>
          <w:rFonts w:ascii="Verdana" w:hAnsi="Verdana"/>
          <w:sz w:val="18"/>
          <w:szCs w:val="18"/>
        </w:rPr>
        <w:t> pentru a colecta așteptări și sugestii. Un </w:t>
      </w:r>
      <w:hyperlink r:id="rId30" w:history="1">
        <w:r w:rsidRPr="00081FDD">
          <w:rPr>
            <w:rStyle w:val="Hyperlink"/>
            <w:color w:val="004494"/>
          </w:rPr>
          <w:t>raport privind sondajul</w:t>
        </w:r>
      </w:hyperlink>
      <w:r w:rsidRPr="00081FDD">
        <w:rPr>
          <w:rFonts w:ascii="Verdana" w:hAnsi="Verdana"/>
          <w:sz w:val="18"/>
          <w:szCs w:val="18"/>
        </w:rPr>
        <w:t> arată că s-au primit aproape 5 000 de răspunsuri din partea tuturor statelor membre. Majoritatea respondenților (58,8 %) au declarat că ar dori să contribuie activ la Anul european al tineretului.</w:t>
      </w:r>
    </w:p>
    <w:p w14:paraId="643EC79E"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Anul va fi, de asemenea, organizat în cadrul unei </w:t>
      </w:r>
      <w:hyperlink r:id="rId31" w:history="1">
        <w:r w:rsidRPr="00081FDD">
          <w:rPr>
            <w:rStyle w:val="Hyperlink"/>
            <w:color w:val="004494"/>
          </w:rPr>
          <w:t>Conferințe privind viitorul Europei</w:t>
        </w:r>
      </w:hyperlink>
      <w:r w:rsidRPr="00081FDD">
        <w:rPr>
          <w:rFonts w:ascii="Verdana" w:hAnsi="Verdana"/>
          <w:sz w:val="18"/>
          <w:szCs w:val="18"/>
        </w:rPr>
        <w:t> , în cadrul căreia tinerii joacă un rol esențial. O treime din fiecare grup de dezbatere al cetățenilor europeni este alcătuit din tineri, între 16 și 25 de ani, iar o proporție egală de tineri se numără printre ambasadorii grupului, care transmit recomandări adunărilor plenare ale Conferinței și discută cu deputații în Parlamentul European, cu politicienii naționali, cu comisarii și cu alți membri plenari ai organismelor UE și ai societății civile. Președintele Forumului European al Tineretului este, de asemenea, membru al adunării plenare a conferinței.</w:t>
      </w:r>
    </w:p>
    <w:p w14:paraId="577CD95B"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Style w:val="Strong"/>
        </w:rPr>
        <w:t>Etapele următoare</w:t>
      </w:r>
    </w:p>
    <w:p w14:paraId="6BAB538B"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Acordul politic la care au ajuns Parlamentul European, Consiliul și Comisia face în prezent obiectul aprobării oficiale de către Parlamentul European și Consiliu.</w:t>
      </w:r>
    </w:p>
    <w:p w14:paraId="26B0F362"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Anul european al tineretului este planificat să fie lansat în ianuarie, sub președinția franceză.</w:t>
      </w:r>
    </w:p>
    <w:p w14:paraId="6D75C20D"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t>Programul complet de activități și informații suplimentare vor fi disponibile pe </w:t>
      </w:r>
      <w:hyperlink r:id="rId32" w:history="1">
        <w:r w:rsidRPr="00081FDD">
          <w:rPr>
            <w:rStyle w:val="Hyperlink"/>
            <w:color w:val="004494"/>
          </w:rPr>
          <w:t>Portalul pentru tineret</w:t>
        </w:r>
      </w:hyperlink>
      <w:r w:rsidRPr="00081FDD">
        <w:rPr>
          <w:rFonts w:ascii="Verdana" w:hAnsi="Verdana"/>
          <w:sz w:val="18"/>
          <w:szCs w:val="18"/>
        </w:rPr>
        <w:t>. </w:t>
      </w:r>
    </w:p>
    <w:p w14:paraId="59A2698D" w14:textId="77777777" w:rsidR="0020602B" w:rsidRPr="00081FDD" w:rsidRDefault="0020602B" w:rsidP="00081FDD">
      <w:pPr>
        <w:pStyle w:val="NormalWeb"/>
        <w:spacing w:before="120" w:beforeAutospacing="0" w:after="0" w:afterAutospacing="0"/>
        <w:rPr>
          <w:rFonts w:ascii="Verdana" w:hAnsi="Verdana"/>
          <w:sz w:val="18"/>
          <w:szCs w:val="18"/>
        </w:rPr>
      </w:pPr>
      <w:r w:rsidRPr="00081FDD">
        <w:rPr>
          <w:rFonts w:ascii="Verdana" w:hAnsi="Verdana"/>
          <w:sz w:val="18"/>
          <w:szCs w:val="18"/>
        </w:rPr>
        <w:lastRenderedPageBreak/>
        <w:t>Până la sfârșitul anului 2023, Comisia va prezenta un raport privind punerea în aplicare, rezultatele și evaluarea globală a inițiativelor, care va include, de asemenea, idei pentru noi eforturi comune în domeniul tineretului pentru a consolida moștenirea Anului.</w:t>
      </w:r>
    </w:p>
    <w:p w14:paraId="46B837BD" w14:textId="77777777" w:rsidR="0020602B" w:rsidRPr="00081FDD" w:rsidRDefault="0020602B" w:rsidP="00AE5EA7">
      <w:pPr>
        <w:pStyle w:val="sous-titre1"/>
        <w:spacing w:before="0" w:beforeAutospacing="0" w:after="0" w:afterAutospacing="0"/>
        <w:rPr>
          <w:rFonts w:ascii="Verdana" w:hAnsi="Verdana"/>
          <w:sz w:val="18"/>
          <w:szCs w:val="18"/>
        </w:rPr>
      </w:pPr>
      <w:r w:rsidRPr="00081FDD">
        <w:rPr>
          <w:rStyle w:val="Strong"/>
        </w:rPr>
        <w:t>Pentru mai multe informații</w:t>
      </w:r>
    </w:p>
    <w:p w14:paraId="243F2E9F" w14:textId="77777777" w:rsidR="0020602B" w:rsidRPr="00081FDD" w:rsidRDefault="0079598A" w:rsidP="00AE5EA7">
      <w:pPr>
        <w:pStyle w:val="5normal"/>
        <w:spacing w:before="0" w:beforeAutospacing="0" w:after="0" w:afterAutospacing="0"/>
        <w:rPr>
          <w:rFonts w:ascii="Verdana" w:hAnsi="Verdana"/>
          <w:sz w:val="18"/>
          <w:szCs w:val="18"/>
        </w:rPr>
      </w:pPr>
      <w:hyperlink r:id="rId33" w:history="1">
        <w:r w:rsidR="0020602B" w:rsidRPr="00081FDD">
          <w:rPr>
            <w:rStyle w:val="Hyperlink"/>
            <w:color w:val="004494"/>
          </w:rPr>
          <w:t>Propunerea Comisiei privind Anul european al tineretului</w:t>
        </w:r>
      </w:hyperlink>
    </w:p>
    <w:p w14:paraId="26EC3EE3" w14:textId="77777777" w:rsidR="0020602B" w:rsidRPr="00081FDD" w:rsidRDefault="0079598A" w:rsidP="00AE5EA7">
      <w:pPr>
        <w:pStyle w:val="5normal"/>
        <w:spacing w:before="0" w:beforeAutospacing="0" w:after="0" w:afterAutospacing="0"/>
        <w:rPr>
          <w:rFonts w:ascii="Verdana" w:hAnsi="Verdana"/>
          <w:sz w:val="18"/>
          <w:szCs w:val="18"/>
        </w:rPr>
      </w:pPr>
      <w:hyperlink r:id="rId34" w:history="1">
        <w:r w:rsidR="0020602B" w:rsidRPr="00081FDD">
          <w:rPr>
            <w:rStyle w:val="Hyperlink"/>
            <w:color w:val="004494"/>
          </w:rPr>
          <w:t>Portalul european pentru tineret</w:t>
        </w:r>
      </w:hyperlink>
    </w:p>
    <w:p w14:paraId="50355BFC" w14:textId="77777777" w:rsidR="0020602B" w:rsidRPr="00081FDD" w:rsidRDefault="0079598A" w:rsidP="00AE5EA7">
      <w:pPr>
        <w:pStyle w:val="5normal"/>
        <w:spacing w:before="0" w:beforeAutospacing="0" w:after="0" w:afterAutospacing="0"/>
        <w:rPr>
          <w:rFonts w:ascii="Verdana" w:hAnsi="Verdana"/>
          <w:sz w:val="18"/>
          <w:szCs w:val="18"/>
        </w:rPr>
      </w:pPr>
      <w:hyperlink r:id="rId35" w:history="1">
        <w:r w:rsidR="0020602B" w:rsidRPr="00081FDD">
          <w:rPr>
            <w:rStyle w:val="Hyperlink"/>
            <w:color w:val="004494"/>
          </w:rPr>
          <w:t>Raportul privind sondajul online</w:t>
        </w:r>
      </w:hyperlink>
    </w:p>
    <w:p w14:paraId="6E8CCADF" w14:textId="6562CCB0" w:rsidR="0020602B" w:rsidRPr="00081FDD" w:rsidRDefault="000F0179" w:rsidP="00AE5EA7">
      <w:pPr>
        <w:pStyle w:val="Stilsursa"/>
      </w:pPr>
      <w:r w:rsidRPr="00081FDD">
        <w:t>Sursa</w:t>
      </w:r>
      <w:r w:rsidR="0020602B" w:rsidRPr="00081FDD">
        <w:t>:</w:t>
      </w:r>
      <w:r w:rsidRPr="00081FDD">
        <w:t xml:space="preserve"> Comisia Europeană - https://ec.europa.eu/commission/presscorner/detail/ro/ip_21_6648</w:t>
      </w:r>
    </w:p>
    <w:p w14:paraId="4748687B"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316235F1" w14:textId="22DBD815" w:rsidR="005B5E75" w:rsidRDefault="003F2CE7" w:rsidP="003F2CE7">
      <w:pPr>
        <w:pStyle w:val="Consultare"/>
      </w:pPr>
      <w:bookmarkStart w:id="144" w:name="_Toc96929068"/>
      <w:r>
        <w:t>Consultări publice</w:t>
      </w:r>
      <w:bookmarkEnd w:id="144"/>
    </w:p>
    <w:p w14:paraId="68F07103" w14:textId="77777777" w:rsidR="003E4A9D" w:rsidRPr="003E4A9D" w:rsidRDefault="003E4A9D" w:rsidP="003E4A9D">
      <w:pPr>
        <w:pStyle w:val="TitluArticolinINFOUE"/>
        <w:rPr>
          <w:lang w:eastAsia="ro-RO"/>
        </w:rPr>
      </w:pPr>
      <w:bookmarkStart w:id="145" w:name="_Toc96929069"/>
      <w:r w:rsidRPr="003E4A9D">
        <w:t>Procedura pentru o nouă ediție a Start-Up Nation, în consultare publică!</w:t>
      </w:r>
      <w:bookmarkEnd w:id="145"/>
    </w:p>
    <w:p w14:paraId="6B2C7487" w14:textId="77777777" w:rsidR="003E4A9D" w:rsidRPr="003E4A9D" w:rsidRDefault="003E4A9D" w:rsidP="003E4A9D">
      <w:pPr>
        <w:pStyle w:val="NormalWeb"/>
        <w:spacing w:before="0" w:beforeAutospacing="0" w:after="150" w:afterAutospacing="0"/>
        <w:rPr>
          <w:rFonts w:ascii="Verdana" w:hAnsi="Verdana"/>
          <w:color w:val="313131"/>
          <w:sz w:val="18"/>
          <w:szCs w:val="18"/>
        </w:rPr>
      </w:pPr>
      <w:r w:rsidRPr="003E4A9D">
        <w:rPr>
          <w:rFonts w:ascii="Verdana" w:hAnsi="Verdana"/>
          <w:color w:val="313131"/>
          <w:sz w:val="18"/>
          <w:szCs w:val="18"/>
        </w:rPr>
        <w:t>Ministerul Antreprenoriatului și Turismului a publicat astăzi, 25 februarie 2022, proiectul procedurii de implementare a Programului pentru stimularea înființării întreprinderilor mici și mijlocii „Start-up Nation – ROMÂNIA”, precum și criteriile privind evaluarea online a planului de afaceri Start-up Tech Nation.</w:t>
      </w:r>
    </w:p>
    <w:p w14:paraId="237F4339" w14:textId="77777777" w:rsidR="003E4A9D" w:rsidRPr="003E4A9D" w:rsidRDefault="003E4A9D" w:rsidP="003E4A9D">
      <w:pPr>
        <w:pStyle w:val="NormalWeb"/>
        <w:spacing w:before="0" w:beforeAutospacing="0" w:after="150" w:afterAutospacing="0"/>
        <w:rPr>
          <w:rFonts w:ascii="Verdana" w:hAnsi="Verdana"/>
          <w:color w:val="313131"/>
          <w:sz w:val="18"/>
          <w:szCs w:val="18"/>
        </w:rPr>
      </w:pPr>
      <w:r w:rsidRPr="003E4A9D">
        <w:rPr>
          <w:rFonts w:ascii="Verdana" w:hAnsi="Verdana"/>
          <w:color w:val="313131"/>
          <w:sz w:val="18"/>
          <w:szCs w:val="18"/>
        </w:rPr>
        <w:t>De prevederile programului pot beneficia societățile – microîntreprinderi, întreprinderi mici și mijlocii care sunt înființate de către persoane fizice după data de 1 ianuarie 2020, inclusiv. Nu pot beneficia de ajutor de minimis în cadrul programului operatorii economici în situaţia în care acționarii sau asociații au/au avut calitatea de asociat sau acționar în altă întreprindere beneficiară de ajutor financiar nerambursabil în cadrul edițiilor anterioare Start-up Nation, sau în cadrul măsurii „Granturi pentru capital de lucru acordate IMM-urilor” din cadrul schemei de ajutor de stat instituită prin OUG nr. 130 din 31 iulie 2020, precum și în cadrul schemei de ajutor de stat dedicate activităților HoReCa.</w:t>
      </w:r>
    </w:p>
    <w:p w14:paraId="6442B600" w14:textId="77777777" w:rsidR="003E4A9D" w:rsidRPr="003E4A9D" w:rsidRDefault="003E4A9D" w:rsidP="003E4A9D">
      <w:pPr>
        <w:pStyle w:val="NormalWeb"/>
        <w:spacing w:before="0" w:beforeAutospacing="0" w:after="150" w:afterAutospacing="0"/>
        <w:rPr>
          <w:rFonts w:ascii="Verdana" w:hAnsi="Verdana"/>
          <w:color w:val="313131"/>
          <w:sz w:val="18"/>
          <w:szCs w:val="18"/>
        </w:rPr>
      </w:pPr>
      <w:r w:rsidRPr="003E4A9D">
        <w:rPr>
          <w:rFonts w:ascii="Verdana" w:hAnsi="Verdana"/>
          <w:color w:val="313131"/>
          <w:sz w:val="18"/>
          <w:szCs w:val="18"/>
        </w:rPr>
        <w:t>Alocația financiară nerambursabilă va fi acordată astfel:</w:t>
      </w:r>
    </w:p>
    <w:p w14:paraId="6E4D0519" w14:textId="77777777" w:rsidR="003E4A9D" w:rsidRPr="003E4A9D" w:rsidRDefault="003E4A9D" w:rsidP="003E4A9D">
      <w:pPr>
        <w:numPr>
          <w:ilvl w:val="0"/>
          <w:numId w:val="43"/>
        </w:numPr>
        <w:spacing w:before="100" w:beforeAutospacing="1" w:after="100" w:afterAutospacing="1"/>
        <w:rPr>
          <w:color w:val="313131"/>
          <w:szCs w:val="18"/>
        </w:rPr>
      </w:pPr>
      <w:r w:rsidRPr="003E4A9D">
        <w:rPr>
          <w:color w:val="313131"/>
          <w:szCs w:val="18"/>
        </w:rPr>
        <w:t>Pentru aplicanții care își asumă crearea și menținerea </w:t>
      </w:r>
      <w:r w:rsidRPr="003E4A9D">
        <w:rPr>
          <w:rStyle w:val="Strong"/>
          <w:color w:val="313131"/>
        </w:rPr>
        <w:t>unui singur loc de muncă</w:t>
      </w:r>
      <w:r w:rsidRPr="003E4A9D">
        <w:rPr>
          <w:color w:val="313131"/>
          <w:szCs w:val="18"/>
        </w:rPr>
        <w:t> prin intermediul programului:</w:t>
      </w:r>
    </w:p>
    <w:p w14:paraId="1BC98DE4" w14:textId="77777777" w:rsidR="003E4A9D" w:rsidRPr="003E4A9D" w:rsidRDefault="003E4A9D" w:rsidP="003E4A9D">
      <w:pPr>
        <w:numPr>
          <w:ilvl w:val="1"/>
          <w:numId w:val="43"/>
        </w:numPr>
        <w:spacing w:before="100" w:beforeAutospacing="1" w:after="100" w:afterAutospacing="1"/>
        <w:rPr>
          <w:color w:val="313131"/>
          <w:szCs w:val="18"/>
        </w:rPr>
      </w:pPr>
      <w:r w:rsidRPr="003E4A9D">
        <w:rPr>
          <w:rStyle w:val="Strong"/>
          <w:color w:val="313131"/>
        </w:rPr>
        <w:t>maximum 100.000 lei/beneficiar</w:t>
      </w:r>
      <w:r w:rsidRPr="003E4A9D">
        <w:rPr>
          <w:color w:val="313131"/>
          <w:szCs w:val="18"/>
        </w:rPr>
        <w:t>, sumă care poate reprezenta maximum </w:t>
      </w:r>
      <w:r w:rsidRPr="003E4A9D">
        <w:rPr>
          <w:rStyle w:val="Strong"/>
          <w:color w:val="313131"/>
        </w:rPr>
        <w:t>95%</w:t>
      </w:r>
      <w:r w:rsidRPr="003E4A9D">
        <w:rPr>
          <w:color w:val="313131"/>
          <w:szCs w:val="18"/>
        </w:rPr>
        <w:t> din valoarea cheltuielilor eligibile (inclusiv TVA pentru societățile neplătitoare) aferente proiectului</w:t>
      </w:r>
    </w:p>
    <w:p w14:paraId="1E551668" w14:textId="77777777" w:rsidR="003E4A9D" w:rsidRPr="003E4A9D" w:rsidRDefault="003E4A9D" w:rsidP="003E4A9D">
      <w:pPr>
        <w:numPr>
          <w:ilvl w:val="0"/>
          <w:numId w:val="43"/>
        </w:numPr>
        <w:spacing w:before="100" w:beforeAutospacing="1" w:after="100" w:afterAutospacing="1"/>
        <w:rPr>
          <w:color w:val="313131"/>
          <w:szCs w:val="18"/>
        </w:rPr>
      </w:pPr>
      <w:r w:rsidRPr="003E4A9D">
        <w:rPr>
          <w:color w:val="313131"/>
          <w:szCs w:val="18"/>
        </w:rPr>
        <w:t>Pentru aplicanții care își asumă crearea și menținerea a </w:t>
      </w:r>
      <w:r w:rsidRPr="003E4A9D">
        <w:rPr>
          <w:rStyle w:val="Strong"/>
          <w:color w:val="313131"/>
        </w:rPr>
        <w:t>două locuri de muncă</w:t>
      </w:r>
      <w:r w:rsidRPr="003E4A9D">
        <w:rPr>
          <w:color w:val="313131"/>
          <w:szCs w:val="18"/>
        </w:rPr>
        <w:t> prin intermediul programului:</w:t>
      </w:r>
    </w:p>
    <w:p w14:paraId="41495E8F" w14:textId="77777777" w:rsidR="003E4A9D" w:rsidRPr="003E4A9D" w:rsidRDefault="003E4A9D" w:rsidP="003E4A9D">
      <w:pPr>
        <w:numPr>
          <w:ilvl w:val="1"/>
          <w:numId w:val="43"/>
        </w:numPr>
        <w:spacing w:before="100" w:beforeAutospacing="1" w:after="100" w:afterAutospacing="1"/>
        <w:rPr>
          <w:color w:val="313131"/>
          <w:szCs w:val="18"/>
        </w:rPr>
      </w:pPr>
      <w:r w:rsidRPr="003E4A9D">
        <w:rPr>
          <w:rStyle w:val="Strong"/>
          <w:color w:val="313131"/>
        </w:rPr>
        <w:t>maximum 200.000 lei/beneficiar</w:t>
      </w:r>
      <w:r w:rsidRPr="003E4A9D">
        <w:rPr>
          <w:color w:val="313131"/>
          <w:szCs w:val="18"/>
        </w:rPr>
        <w:t>, sumă care poate reprezenta maximum </w:t>
      </w:r>
      <w:r w:rsidRPr="003E4A9D">
        <w:rPr>
          <w:rStyle w:val="Strong"/>
          <w:color w:val="313131"/>
        </w:rPr>
        <w:t>95%</w:t>
      </w:r>
      <w:r w:rsidRPr="003E4A9D">
        <w:rPr>
          <w:color w:val="313131"/>
          <w:szCs w:val="18"/>
        </w:rPr>
        <w:t> din valoarea cheltuielilor eligibile (inclusiv TVA pentru societățile neplătitoare) aferente proiectului</w:t>
      </w:r>
    </w:p>
    <w:p w14:paraId="36BD786E" w14:textId="77777777" w:rsidR="003E4A9D" w:rsidRPr="003E4A9D" w:rsidRDefault="003E4A9D" w:rsidP="003E4A9D">
      <w:pPr>
        <w:pStyle w:val="NormalWeb"/>
        <w:spacing w:before="0" w:beforeAutospacing="0" w:after="150" w:afterAutospacing="0"/>
        <w:rPr>
          <w:rFonts w:ascii="Verdana" w:hAnsi="Verdana"/>
          <w:color w:val="313131"/>
          <w:sz w:val="18"/>
          <w:szCs w:val="18"/>
        </w:rPr>
      </w:pPr>
      <w:r w:rsidRPr="003E4A9D">
        <w:rPr>
          <w:rFonts w:ascii="Verdana" w:hAnsi="Verdana"/>
          <w:color w:val="313131"/>
          <w:sz w:val="18"/>
          <w:szCs w:val="18"/>
        </w:rPr>
        <w:t>Obiectul finanțării trebuie să se încadreze în una sau mai multe din următoarele categorii eligibile:</w:t>
      </w:r>
    </w:p>
    <w:p w14:paraId="1DC1DDB1"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echipamente tehnologice;</w:t>
      </w:r>
    </w:p>
    <w:p w14:paraId="31629EF3"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achiziţionarea de spaţii de lucru, spaţii de producţie şi spaţii pentru prestări servicii şi comerţ;</w:t>
      </w:r>
    </w:p>
    <w:p w14:paraId="2F78AD57"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mijloace de transport;</w:t>
      </w:r>
    </w:p>
    <w:p w14:paraId="439EAD02"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achiziţionarea de mobilier, aparatură birotică şi sisteme de protecţie a valorilor umane şi materiale;</w:t>
      </w:r>
    </w:p>
    <w:p w14:paraId="39600DBA"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salariile, utilități, servicii de contabilitate și cheltuielile aferente chiriilor pentru spaţii de lucru, spaţii de producţie sau spaţii pentru prestări servicii şi comerţ;</w:t>
      </w:r>
    </w:p>
    <w:p w14:paraId="34FB76E8"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pachet digital (voucher de digitalizare);</w:t>
      </w:r>
    </w:p>
    <w:p w14:paraId="2E0D700F"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active necorporale referitoare la brevete de invenție, francize, etichetare ecologică;</w:t>
      </w:r>
    </w:p>
    <w:p w14:paraId="5490B7C1"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cursuri de dezvoltare a abilităţilor antreprenoriale;</w:t>
      </w:r>
    </w:p>
    <w:p w14:paraId="4EE64BD1"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taxa pe valoarea adăugată (TVA) nedeductibilă pentru aplicanții neplătitori de TVA;</w:t>
      </w:r>
    </w:p>
    <w:p w14:paraId="73F76F8F"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consultanţă pentru întocmirea documentaţiei;</w:t>
      </w:r>
    </w:p>
    <w:p w14:paraId="767FAA98"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plăcuțele informative obligatorii;</w:t>
      </w:r>
    </w:p>
    <w:p w14:paraId="1AC08DEB" w14:textId="77777777" w:rsidR="003E4A9D" w:rsidRPr="003E4A9D" w:rsidRDefault="003E4A9D" w:rsidP="003E4A9D">
      <w:pPr>
        <w:numPr>
          <w:ilvl w:val="0"/>
          <w:numId w:val="44"/>
        </w:numPr>
        <w:spacing w:before="100" w:beforeAutospacing="1" w:after="100" w:afterAutospacing="1"/>
        <w:rPr>
          <w:color w:val="313131"/>
          <w:szCs w:val="18"/>
        </w:rPr>
      </w:pPr>
      <w:r w:rsidRPr="003E4A9D">
        <w:rPr>
          <w:color w:val="313131"/>
          <w:szCs w:val="18"/>
        </w:rPr>
        <w:t>cheltuieli financiare aferente creditelor/garanțiilor obținute pentru creditele contractate de beneficiari în vederea realizării planurilor de afaceri acceptate în cadrul programului.</w:t>
      </w:r>
    </w:p>
    <w:p w14:paraId="68113E38" w14:textId="77777777" w:rsidR="003E4A9D" w:rsidRPr="003E4A9D" w:rsidRDefault="003E4A9D" w:rsidP="003E4A9D">
      <w:pPr>
        <w:pStyle w:val="NormalWeb"/>
        <w:spacing w:before="0" w:beforeAutospacing="0" w:after="150" w:afterAutospacing="0"/>
        <w:rPr>
          <w:rFonts w:ascii="Verdana" w:hAnsi="Verdana"/>
          <w:color w:val="313131"/>
          <w:sz w:val="18"/>
          <w:szCs w:val="18"/>
        </w:rPr>
      </w:pPr>
      <w:r w:rsidRPr="003E4A9D">
        <w:rPr>
          <w:rFonts w:ascii="Verdana" w:hAnsi="Verdana"/>
          <w:color w:val="313131"/>
          <w:sz w:val="18"/>
          <w:szCs w:val="18"/>
        </w:rPr>
        <w:lastRenderedPageBreak/>
        <w:t>În ceea ce privește înscrierea în program, precum și completarea formularului electronic de înscriere, se vor face online, pe platforma granturi.imm.gov.ro.</w:t>
      </w:r>
    </w:p>
    <w:p w14:paraId="788CDFFA" w14:textId="77777777" w:rsidR="003E4A9D" w:rsidRPr="003E4A9D" w:rsidRDefault="003E4A9D" w:rsidP="003E4A9D">
      <w:pPr>
        <w:pStyle w:val="NormalWeb"/>
        <w:spacing w:before="0" w:beforeAutospacing="0" w:after="150" w:afterAutospacing="0"/>
        <w:rPr>
          <w:rFonts w:ascii="Verdana" w:hAnsi="Verdana"/>
          <w:color w:val="313131"/>
          <w:sz w:val="18"/>
          <w:szCs w:val="18"/>
        </w:rPr>
      </w:pPr>
      <w:hyperlink r:id="rId36" w:tgtFrame="_blank" w:history="1">
        <w:r w:rsidRPr="003E4A9D">
          <w:rPr>
            <w:rStyle w:val="Emphasis"/>
            <w:b/>
            <w:bCs/>
            <w:color w:val="0000FF"/>
            <w:u w:val="single"/>
          </w:rPr>
          <w:t>Descarcă</w:t>
        </w:r>
        <w:r w:rsidRPr="003E4A9D">
          <w:rPr>
            <w:rStyle w:val="Hyperlink"/>
          </w:rPr>
          <w:t> </w:t>
        </w:r>
      </w:hyperlink>
      <w:r w:rsidRPr="003E4A9D">
        <w:rPr>
          <w:rFonts w:ascii="Verdana" w:hAnsi="Verdana"/>
          <w:color w:val="313131"/>
          <w:sz w:val="18"/>
          <w:szCs w:val="18"/>
        </w:rPr>
        <w:t>procedura de implementare, alături de criteriile privind evaluarea on-line a planului de afaceri</w:t>
      </w:r>
    </w:p>
    <w:p w14:paraId="5889E39D" w14:textId="3F801C55" w:rsidR="003E4A9D" w:rsidRPr="003E4A9D" w:rsidRDefault="003E4A9D" w:rsidP="003E4A9D">
      <w:pPr>
        <w:pStyle w:val="NormalWeb"/>
        <w:spacing w:before="0" w:beforeAutospacing="0" w:after="150" w:afterAutospacing="0"/>
        <w:rPr>
          <w:rFonts w:ascii="Verdana" w:hAnsi="Verdana"/>
          <w:color w:val="313131"/>
          <w:sz w:val="18"/>
          <w:szCs w:val="18"/>
        </w:rPr>
      </w:pPr>
      <w:r w:rsidRPr="003E4A9D">
        <w:rPr>
          <w:rFonts w:ascii="Verdana" w:hAnsi="Verdana"/>
          <w:color w:val="313131"/>
          <w:sz w:val="18"/>
          <w:szCs w:val="18"/>
        </w:rPr>
        <w:t xml:space="preserve">Propunerile, sugestiile şi opiniile privind proiectul de act normativ se primesc in termen de 10 zile de la </w:t>
      </w:r>
    </w:p>
    <w:p w14:paraId="3CEDE9DC" w14:textId="77777777" w:rsidR="003E4A9D" w:rsidRPr="003E4A9D" w:rsidRDefault="003E4A9D" w:rsidP="003E4A9D">
      <w:pPr>
        <w:pStyle w:val="Stilsursa"/>
      </w:pPr>
      <w:r w:rsidRPr="003E4A9D">
        <w:t>Sursa: MAT</w:t>
      </w:r>
    </w:p>
    <w:p w14:paraId="40564F0C" w14:textId="0E317604" w:rsidR="003E4A9D" w:rsidRPr="003E4A9D" w:rsidRDefault="003E4A9D" w:rsidP="003E4A9D">
      <w:pPr>
        <w:pStyle w:val="separatorarticole"/>
      </w:pPr>
      <w:r>
        <w:t>*</w:t>
      </w:r>
    </w:p>
    <w:p w14:paraId="39CE73A5" w14:textId="77777777" w:rsidR="00081FDD" w:rsidRPr="00AE5EA7" w:rsidRDefault="00081FDD" w:rsidP="00AE5EA7">
      <w:pPr>
        <w:pStyle w:val="TitluArticolinINFOUE"/>
        <w:rPr>
          <w:lang w:eastAsia="ro-RO"/>
        </w:rPr>
      </w:pPr>
      <w:bookmarkStart w:id="146" w:name="_Toc96929070"/>
      <w:r w:rsidRPr="00AE5EA7">
        <w:t>Ministrul Digitalizării: În curând va fi publicat în consultare publică ghidul solicitantului pentru programul de educație digitală și competențe digitale în IMM-uri</w:t>
      </w:r>
      <w:bookmarkEnd w:id="146"/>
    </w:p>
    <w:p w14:paraId="40375430" w14:textId="77777777" w:rsidR="00081FDD" w:rsidRPr="00AE5EA7" w:rsidRDefault="00081FDD" w:rsidP="00AE5EA7">
      <w:pPr>
        <w:pStyle w:val="NormalWeb"/>
        <w:spacing w:before="120" w:beforeAutospacing="0" w:after="0" w:afterAutospacing="0"/>
        <w:rPr>
          <w:rFonts w:ascii="Verdana" w:hAnsi="Verdana"/>
          <w:color w:val="313131"/>
          <w:sz w:val="18"/>
          <w:szCs w:val="18"/>
        </w:rPr>
      </w:pPr>
      <w:r w:rsidRPr="00AE5EA7">
        <w:rPr>
          <w:rFonts w:ascii="Verdana" w:hAnsi="Verdana"/>
          <w:color w:val="313131"/>
          <w:sz w:val="18"/>
          <w:szCs w:val="18"/>
        </w:rPr>
        <w:t>Ministrul Cercetării, Inovării și Digitalizării, Marcel Boloș, a făcut declarații săptămâna trecută, în cadrul unui eveniment organizat de cursdeguvernare.ro, cu privire la investițiile în domeniul digitalizării prin PNRR.</w:t>
      </w:r>
    </w:p>
    <w:p w14:paraId="25A587B6" w14:textId="77777777" w:rsidR="00081FDD" w:rsidRPr="00AE5EA7" w:rsidRDefault="00081FDD" w:rsidP="00AE5EA7">
      <w:pPr>
        <w:pStyle w:val="NormalWeb"/>
        <w:spacing w:before="120" w:beforeAutospacing="0" w:after="0" w:afterAutospacing="0"/>
        <w:rPr>
          <w:rFonts w:ascii="Verdana" w:hAnsi="Verdana"/>
          <w:color w:val="313131"/>
          <w:sz w:val="18"/>
          <w:szCs w:val="18"/>
        </w:rPr>
      </w:pPr>
      <w:r w:rsidRPr="00AE5EA7">
        <w:rPr>
          <w:rFonts w:ascii="Verdana" w:hAnsi="Verdana"/>
          <w:color w:val="313131"/>
          <w:sz w:val="18"/>
          <w:szCs w:val="18"/>
        </w:rPr>
        <w:t>Pentru mediul de afaceri, ministrul a declarat că există bugetat „</w:t>
      </w:r>
      <w:r w:rsidRPr="00AE5EA7">
        <w:rPr>
          <w:rStyle w:val="Emphasis"/>
          <w:color w:val="313131"/>
        </w:rPr>
        <w:t>ca un număr de 5.400 de IMM-uri să beneficieze de investiții în zona digitală atât pe palierul competențelor și investițiilor în digitalizarea de bază, cât și așa zisele procese de digitalizare inovative</w:t>
      </w:r>
      <w:r w:rsidRPr="00AE5EA7">
        <w:rPr>
          <w:rFonts w:ascii="Verdana" w:hAnsi="Verdana"/>
          <w:color w:val="313131"/>
          <w:sz w:val="18"/>
          <w:szCs w:val="18"/>
        </w:rPr>
        <w:t>”. Bugetul este, conform ministrului, de peste 500 de milioane de euro.</w:t>
      </w:r>
    </w:p>
    <w:p w14:paraId="5A541587" w14:textId="77777777" w:rsidR="00081FDD" w:rsidRPr="00AE5EA7" w:rsidRDefault="00081FDD" w:rsidP="00AE5EA7">
      <w:pPr>
        <w:pStyle w:val="NormalWeb"/>
        <w:spacing w:before="120" w:beforeAutospacing="0" w:after="0" w:afterAutospacing="0"/>
        <w:rPr>
          <w:rFonts w:ascii="Verdana" w:hAnsi="Verdana"/>
          <w:color w:val="313131"/>
          <w:sz w:val="18"/>
          <w:szCs w:val="18"/>
        </w:rPr>
      </w:pPr>
      <w:r w:rsidRPr="00AE5EA7">
        <w:rPr>
          <w:rFonts w:ascii="Verdana" w:hAnsi="Verdana"/>
          <w:color w:val="313131"/>
          <w:sz w:val="18"/>
          <w:szCs w:val="18"/>
        </w:rPr>
        <w:t>În domeniile educație și sănătate, ministrul a amintit câteva dintre proiecte, precum telemedicină pentru 200.000 de comunități și laboratoare de informatică pentru școli. Proiectele în aceste domenii au un buget alocat de peste 800 de milioane de euro prin PNRR, a completat ministrul. Acesta a menționat și cărțile de identitate electronice, cu „</w:t>
      </w:r>
      <w:r w:rsidRPr="00AE5EA7">
        <w:rPr>
          <w:rStyle w:val="Emphasis"/>
          <w:color w:val="313131"/>
        </w:rPr>
        <w:t>peste 4.5 milioane de cetățeni prevăzuți a fi beneficiari</w:t>
      </w:r>
      <w:r w:rsidRPr="00AE5EA7">
        <w:rPr>
          <w:rFonts w:ascii="Verdana" w:hAnsi="Verdana"/>
          <w:color w:val="313131"/>
          <w:sz w:val="18"/>
          <w:szCs w:val="18"/>
        </w:rPr>
        <w:t>”.</w:t>
      </w:r>
    </w:p>
    <w:p w14:paraId="66CAAFA9" w14:textId="77777777" w:rsidR="00081FDD" w:rsidRPr="00AE5EA7" w:rsidRDefault="00081FDD" w:rsidP="00AE5EA7">
      <w:pPr>
        <w:pStyle w:val="NormalWeb"/>
        <w:spacing w:before="120" w:beforeAutospacing="0" w:after="0" w:afterAutospacing="0"/>
        <w:rPr>
          <w:rFonts w:ascii="Verdana" w:hAnsi="Verdana"/>
          <w:color w:val="313131"/>
          <w:sz w:val="18"/>
          <w:szCs w:val="18"/>
        </w:rPr>
      </w:pPr>
      <w:r w:rsidRPr="00AE5EA7">
        <w:rPr>
          <w:rFonts w:ascii="Verdana" w:hAnsi="Verdana"/>
          <w:color w:val="313131"/>
          <w:sz w:val="18"/>
          <w:szCs w:val="18"/>
        </w:rPr>
        <w:t>În ceea ce privește dezvoltarea competențelor digitale în IMM-uri, ministrul a declarat faptul că sunt alocate resurse, iar „</w:t>
      </w:r>
      <w:r w:rsidRPr="00AE5EA7">
        <w:rPr>
          <w:rStyle w:val="Emphasis"/>
          <w:color w:val="313131"/>
        </w:rPr>
        <w:t>în curând va fi publicat, pentru consultare publică, ghidul solicitantului și avem un target de 2.000 de IMM-uri care vor fi beneficiare ale acestui program de educație digitală, competențe digitale</w:t>
      </w:r>
      <w:r w:rsidRPr="00AE5EA7">
        <w:rPr>
          <w:rFonts w:ascii="Verdana" w:hAnsi="Verdana"/>
          <w:color w:val="313131"/>
          <w:sz w:val="18"/>
          <w:szCs w:val="18"/>
        </w:rPr>
        <w:t>”. De asemenea, referitor la investițiile în IMM-urile non-IT, ministrul a amintit două tipuri de investiții, pentru 5.429 de companii, respectiv competențe digitale de bază și automatizare-robotizare, în valoare de peste 500 de milioane de euro.</w:t>
      </w:r>
    </w:p>
    <w:p w14:paraId="08C1DB83" w14:textId="77777777" w:rsidR="00081FDD" w:rsidRPr="00AE5EA7" w:rsidRDefault="00081FDD" w:rsidP="00AE5EA7">
      <w:pPr>
        <w:pStyle w:val="NormalWeb"/>
        <w:spacing w:before="120" w:beforeAutospacing="0" w:after="0" w:afterAutospacing="0"/>
        <w:rPr>
          <w:rFonts w:ascii="Verdana" w:hAnsi="Verdana"/>
          <w:color w:val="313131"/>
          <w:sz w:val="18"/>
          <w:szCs w:val="18"/>
        </w:rPr>
      </w:pPr>
      <w:r w:rsidRPr="00AE5EA7">
        <w:rPr>
          <w:rFonts w:ascii="Verdana" w:hAnsi="Verdana"/>
          <w:color w:val="313131"/>
          <w:sz w:val="18"/>
          <w:szCs w:val="18"/>
        </w:rPr>
        <w:t>Vor fi alocate fonduri pentru „</w:t>
      </w:r>
      <w:r w:rsidRPr="00AE5EA7">
        <w:rPr>
          <w:rStyle w:val="Emphasis"/>
          <w:color w:val="313131"/>
        </w:rPr>
        <w:t>partea de software, servere, licențe de operare și tot ce înseamnă tehnologiile adecvate cloud-ului</w:t>
      </w:r>
      <w:r w:rsidRPr="00AE5EA7">
        <w:rPr>
          <w:rFonts w:ascii="Verdana" w:hAnsi="Verdana"/>
          <w:color w:val="313131"/>
          <w:sz w:val="18"/>
          <w:szCs w:val="18"/>
        </w:rPr>
        <w:t>”, care depășesc 300 de milioane de euro, a completat acesta.</w:t>
      </w:r>
    </w:p>
    <w:p w14:paraId="25C35830" w14:textId="1D3B0169" w:rsidR="00081FDD" w:rsidRPr="00AE5EA7" w:rsidRDefault="00AE5EA7" w:rsidP="00AE5EA7">
      <w:pPr>
        <w:pStyle w:val="Stilsursa"/>
      </w:pPr>
      <w:r>
        <w:t xml:space="preserve">Sursa: </w:t>
      </w:r>
      <w:r w:rsidR="00081FDD" w:rsidRPr="00AE5EA7">
        <w:t>fonduri-structurale.ro</w:t>
      </w:r>
    </w:p>
    <w:p w14:paraId="18F3EA1C" w14:textId="13D2984D" w:rsidR="000B0469" w:rsidRPr="000B0469" w:rsidRDefault="000B0469" w:rsidP="000B0469">
      <w:pPr>
        <w:spacing w:before="240"/>
        <w:ind w:right="198"/>
        <w:jc w:val="center"/>
        <w:rPr>
          <w:color w:val="9999FF"/>
          <w:spacing w:val="40"/>
          <w:sz w:val="16"/>
          <w:szCs w:val="16"/>
        </w:rPr>
      </w:pPr>
      <w:bookmarkStart w:id="147" w:name="_Toc75263875"/>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4A363124" w14:textId="60F65B07"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48" w:name="_Toc96929071"/>
      <w:bookmarkEnd w:id="147"/>
      <w:r w:rsidRPr="00B06E02">
        <w:rPr>
          <w:color w:val="006600"/>
          <w:sz w:val="18"/>
          <w:szCs w:val="18"/>
        </w:rPr>
        <w:t xml:space="preserve">APELURI – </w:t>
      </w:r>
      <w:r w:rsidRPr="00B06E02">
        <w:rPr>
          <w:color w:val="3B3838" w:themeColor="background2" w:themeShade="40"/>
          <w:sz w:val="18"/>
          <w:szCs w:val="18"/>
        </w:rPr>
        <w:t>Finanțări</w:t>
      </w:r>
      <w:bookmarkEnd w:id="148"/>
    </w:p>
    <w:p w14:paraId="309B9E32" w14:textId="77777777" w:rsidR="003E4A9D" w:rsidRPr="003E4A9D" w:rsidRDefault="003E4A9D" w:rsidP="00A2705C">
      <w:pPr>
        <w:pStyle w:val="TitluArticolinINFOUE"/>
        <w:spacing w:after="0"/>
        <w:rPr>
          <w:lang w:eastAsia="ro-RO"/>
        </w:rPr>
      </w:pPr>
      <w:bookmarkStart w:id="149" w:name="_Toc96929072"/>
      <w:r w:rsidRPr="003E4A9D">
        <w:t>Prelungire a termenului de depunere a cererilor de finanțare pentru submăsurile 16.4 și 16.4a, dedicate sectoarelor agricole și pomicole</w:t>
      </w:r>
      <w:bookmarkEnd w:id="149"/>
    </w:p>
    <w:p w14:paraId="5D10A5E0" w14:textId="77777777" w:rsidR="003E4A9D" w:rsidRPr="003E4A9D" w:rsidRDefault="003E4A9D" w:rsidP="00A2705C">
      <w:pPr>
        <w:pStyle w:val="NormalWeb"/>
        <w:spacing w:before="80" w:beforeAutospacing="0" w:after="0" w:afterAutospacing="0"/>
        <w:rPr>
          <w:rFonts w:ascii="Verdana" w:hAnsi="Verdana"/>
          <w:color w:val="313131"/>
          <w:sz w:val="18"/>
          <w:szCs w:val="18"/>
        </w:rPr>
      </w:pPr>
      <w:r w:rsidRPr="003E4A9D">
        <w:rPr>
          <w:rFonts w:ascii="Verdana" w:hAnsi="Verdana"/>
          <w:color w:val="313131"/>
          <w:sz w:val="18"/>
          <w:szCs w:val="18"/>
        </w:rPr>
        <w:t>Agenţia pentru Finanțarea Investițiilor Rurale (AFIR) a anunțat ieri, 25 februarie 2022, prelungirea sesiunii din 2021 de depunere a Cererilor de finanţare pentru submăsura 16.4 „Sprijin acordat pentru cooperare orizontală şi verticală între actorii din lanțul de aprovizionare în sectorul agricol” și submăsura 16.4a „Sprijin acordat pentru cooperare orizontală şi verticală între actorii din lanțul de aprovizionare în sectorul pomicol” din Programul Național de Dezvoltare Rurală 2014 – 2020 (PNDR 2020).</w:t>
      </w:r>
    </w:p>
    <w:p w14:paraId="62B867AD" w14:textId="77777777" w:rsidR="003E4A9D" w:rsidRPr="003E4A9D" w:rsidRDefault="003E4A9D" w:rsidP="00A2705C">
      <w:pPr>
        <w:pStyle w:val="NormalWeb"/>
        <w:spacing w:before="80" w:beforeAutospacing="0" w:after="0" w:afterAutospacing="0"/>
        <w:rPr>
          <w:rFonts w:ascii="Verdana" w:hAnsi="Verdana"/>
          <w:color w:val="313131"/>
          <w:sz w:val="18"/>
          <w:szCs w:val="18"/>
        </w:rPr>
      </w:pPr>
      <w:r w:rsidRPr="003E4A9D">
        <w:rPr>
          <w:rFonts w:ascii="Verdana" w:hAnsi="Verdana"/>
          <w:color w:val="313131"/>
          <w:sz w:val="18"/>
          <w:szCs w:val="18"/>
        </w:rPr>
        <w:t>Noul termen limită de depunere a cererilor de finanțare pentru cele două submăsuri este </w:t>
      </w:r>
      <w:r w:rsidRPr="003E4A9D">
        <w:rPr>
          <w:rStyle w:val="Strong"/>
          <w:color w:val="313131"/>
        </w:rPr>
        <w:t>31 martie 2022</w:t>
      </w:r>
      <w:r w:rsidRPr="003E4A9D">
        <w:rPr>
          <w:rFonts w:ascii="Verdana" w:hAnsi="Verdana"/>
          <w:color w:val="313131"/>
          <w:sz w:val="18"/>
          <w:szCs w:val="18"/>
        </w:rPr>
        <w:t>. Termenul inițial era 28 februarie 2022.</w:t>
      </w:r>
    </w:p>
    <w:p w14:paraId="576E47DD" w14:textId="77777777" w:rsidR="003E4A9D" w:rsidRPr="003E4A9D" w:rsidRDefault="003E4A9D" w:rsidP="003E4A9D">
      <w:pPr>
        <w:pStyle w:val="Stilsursa"/>
      </w:pPr>
      <w:r w:rsidRPr="003E4A9D">
        <w:t>Sursa: AFIR</w:t>
      </w:r>
    </w:p>
    <w:p w14:paraId="1A8929CF" w14:textId="3CC7D854" w:rsidR="003E4A9D" w:rsidRPr="003E4A9D" w:rsidRDefault="003E4A9D" w:rsidP="003E4A9D">
      <w:pPr>
        <w:pStyle w:val="separatorarticole"/>
      </w:pPr>
      <w:r w:rsidRPr="003E4A9D">
        <w:t>*</w:t>
      </w:r>
    </w:p>
    <w:p w14:paraId="7363B166" w14:textId="77777777" w:rsidR="00081FDD" w:rsidRPr="00AE5EA7" w:rsidRDefault="00081FDD" w:rsidP="00AE5EA7">
      <w:pPr>
        <w:pStyle w:val="TitluArticolinINFOUE"/>
        <w:rPr>
          <w:lang w:eastAsia="ro-RO"/>
        </w:rPr>
      </w:pPr>
      <w:bookmarkStart w:id="150" w:name="_Toc96929073"/>
      <w:r w:rsidRPr="00AE5EA7">
        <w:t>Termenul de depunere a cererilor de înscriere în Programul Tomata a fost prelungit</w:t>
      </w:r>
      <w:bookmarkEnd w:id="150"/>
    </w:p>
    <w:p w14:paraId="529999ED" w14:textId="77777777" w:rsidR="00081FDD" w:rsidRPr="00AE5EA7" w:rsidRDefault="00081FDD" w:rsidP="00A2705C">
      <w:pPr>
        <w:pStyle w:val="NormalWeb"/>
        <w:spacing w:before="80" w:beforeAutospacing="0" w:after="0" w:afterAutospacing="0"/>
        <w:rPr>
          <w:rFonts w:ascii="Verdana" w:hAnsi="Verdana"/>
          <w:color w:val="313131"/>
          <w:sz w:val="18"/>
          <w:szCs w:val="18"/>
        </w:rPr>
      </w:pPr>
      <w:r w:rsidRPr="00AE5EA7">
        <w:rPr>
          <w:rFonts w:ascii="Verdana" w:hAnsi="Verdana"/>
          <w:color w:val="313131"/>
          <w:sz w:val="18"/>
          <w:szCs w:val="18"/>
        </w:rPr>
        <w:t>În Ședința Guvernului din 23 februarie 2022, a fost aprobată o Hotărâre prin care au fost aduse simplificări programelor de sprijin în sectorul vegetal, introduse prin Hotărârea Guvernului nr.148/2022 și Hotărârea Guvernului nr.147/2022.</w:t>
      </w:r>
    </w:p>
    <w:p w14:paraId="69B30D4F" w14:textId="77777777" w:rsidR="00081FDD" w:rsidRPr="00AE5EA7" w:rsidRDefault="00081FDD" w:rsidP="00A2705C">
      <w:pPr>
        <w:pStyle w:val="NormalWeb"/>
        <w:spacing w:before="80" w:beforeAutospacing="0" w:after="0" w:afterAutospacing="0"/>
        <w:rPr>
          <w:rFonts w:ascii="Verdana" w:hAnsi="Verdana"/>
          <w:color w:val="313131"/>
          <w:sz w:val="18"/>
          <w:szCs w:val="18"/>
        </w:rPr>
      </w:pPr>
      <w:r w:rsidRPr="00AE5EA7">
        <w:rPr>
          <w:rFonts w:ascii="Verdana" w:hAnsi="Verdana"/>
          <w:color w:val="313131"/>
          <w:sz w:val="18"/>
          <w:szCs w:val="18"/>
        </w:rPr>
        <w:t>Potrivit noilor reglementări:</w:t>
      </w:r>
    </w:p>
    <w:p w14:paraId="15128557" w14:textId="77777777" w:rsidR="00081FDD" w:rsidRPr="00AE5EA7" w:rsidRDefault="00081FDD" w:rsidP="00A2705C">
      <w:pPr>
        <w:numPr>
          <w:ilvl w:val="0"/>
          <w:numId w:val="42"/>
        </w:numPr>
        <w:spacing w:before="80"/>
        <w:rPr>
          <w:color w:val="313131"/>
          <w:szCs w:val="18"/>
        </w:rPr>
      </w:pPr>
      <w:r w:rsidRPr="00AE5EA7">
        <w:rPr>
          <w:color w:val="313131"/>
          <w:szCs w:val="18"/>
        </w:rPr>
        <w:lastRenderedPageBreak/>
        <w:t>se prelungește cu o lună termenul de depunere a cererilor pentru obținerea ajutorului de minimis pentru legumele în spații protejate (programul Tomata și alte legume în spații protejate) până la data de </w:t>
      </w:r>
      <w:r w:rsidRPr="00AE5EA7">
        <w:rPr>
          <w:rStyle w:val="Strong"/>
          <w:color w:val="313131"/>
        </w:rPr>
        <w:t>1 aprilie 2022</w:t>
      </w:r>
      <w:r w:rsidRPr="00AE5EA7">
        <w:rPr>
          <w:color w:val="313131"/>
          <w:szCs w:val="18"/>
        </w:rPr>
        <w:t>, inclusiv (termenul inițial era 1 martie 2022);</w:t>
      </w:r>
    </w:p>
    <w:p w14:paraId="029214D4" w14:textId="77777777" w:rsidR="00081FDD" w:rsidRPr="00AE5EA7" w:rsidRDefault="00081FDD" w:rsidP="00A2705C">
      <w:pPr>
        <w:numPr>
          <w:ilvl w:val="0"/>
          <w:numId w:val="42"/>
        </w:numPr>
        <w:spacing w:before="80"/>
        <w:rPr>
          <w:color w:val="313131"/>
          <w:szCs w:val="18"/>
        </w:rPr>
      </w:pPr>
      <w:r w:rsidRPr="00AE5EA7">
        <w:rPr>
          <w:color w:val="313131"/>
          <w:szCs w:val="18"/>
        </w:rPr>
        <w:t>se elimină certificatul de atestare fiscală și a cazierului fiscal din cadrul documentației atașate cererii pentru înscrierea în ambele scheme de ajutor de minimis.</w:t>
      </w:r>
    </w:p>
    <w:p w14:paraId="3935C1AA" w14:textId="77777777" w:rsidR="00081FDD" w:rsidRPr="00AE5EA7" w:rsidRDefault="00081FDD" w:rsidP="00AE5EA7">
      <w:pPr>
        <w:pStyle w:val="Stilsursa"/>
      </w:pPr>
      <w:r w:rsidRPr="00AE5EA7">
        <w:t>Sursa: MADR</w:t>
      </w:r>
    </w:p>
    <w:p w14:paraId="74680132" w14:textId="5E535686" w:rsidR="00081FDD" w:rsidRPr="00AE5EA7" w:rsidRDefault="00081FDD" w:rsidP="00AE5EA7">
      <w:pPr>
        <w:pStyle w:val="separatorarticole"/>
      </w:pPr>
      <w:r w:rsidRPr="00AE5EA7">
        <w:t>*</w:t>
      </w:r>
    </w:p>
    <w:p w14:paraId="1AEACB79" w14:textId="77777777" w:rsidR="00081FDD" w:rsidRPr="00AE5EA7" w:rsidRDefault="00081FDD" w:rsidP="00AE5EA7">
      <w:pPr>
        <w:pStyle w:val="TitluArticolinINFOUE"/>
        <w:rPr>
          <w:lang w:eastAsia="ro-RO"/>
        </w:rPr>
      </w:pPr>
      <w:bookmarkStart w:id="151" w:name="_Toc96929074"/>
      <w:r w:rsidRPr="00AE5EA7">
        <w:t>Aplicații deschise pentru Festivalul Noului Bauhaus European</w:t>
      </w:r>
      <w:bookmarkEnd w:id="151"/>
    </w:p>
    <w:p w14:paraId="3C8CB241" w14:textId="77777777" w:rsidR="00081FDD" w:rsidRPr="00AE5EA7" w:rsidRDefault="00081FDD"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Agenția Executivă pentru Consiliul European pentru Inovare și IMM-uri (EISMEA) a anunțat ieri, 23 februarie, înscrierile deschise pentru </w:t>
      </w:r>
      <w:r w:rsidRPr="00AE5EA7">
        <w:rPr>
          <w:rStyle w:val="Strong"/>
          <w:color w:val="313131"/>
        </w:rPr>
        <w:t>Festivalul Noului Bauhaus European</w:t>
      </w:r>
      <w:r w:rsidRPr="00AE5EA7">
        <w:rPr>
          <w:rFonts w:ascii="Verdana" w:hAnsi="Verdana"/>
          <w:color w:val="313131"/>
          <w:sz w:val="18"/>
          <w:szCs w:val="18"/>
        </w:rPr>
        <w:t>.</w:t>
      </w:r>
    </w:p>
    <w:p w14:paraId="7C9F4485" w14:textId="77777777" w:rsidR="00081FDD" w:rsidRPr="00AE5EA7" w:rsidRDefault="00081FDD"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Creatori, oameni de știință, inovatori, instituții și organizații se pot alătura primului Festival al Noului Bauhaus European, care va avea loc între </w:t>
      </w:r>
      <w:r w:rsidRPr="00AE5EA7">
        <w:rPr>
          <w:rStyle w:val="Strong"/>
          <w:color w:val="313131"/>
        </w:rPr>
        <w:t>9 și 12 iunie 2022</w:t>
      </w:r>
      <w:r w:rsidRPr="00AE5EA7">
        <w:rPr>
          <w:rFonts w:ascii="Verdana" w:hAnsi="Verdana"/>
          <w:color w:val="313131"/>
          <w:sz w:val="18"/>
          <w:szCs w:val="18"/>
        </w:rPr>
        <w:t>, cu evenimente în Bruxelles și online.</w:t>
      </w:r>
    </w:p>
    <w:p w14:paraId="0514AB84" w14:textId="77777777" w:rsidR="00081FDD" w:rsidRPr="00AE5EA7" w:rsidRDefault="00081FDD"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Festivalul Noului Bauhaus European constă în trei piloni:</w:t>
      </w:r>
    </w:p>
    <w:p w14:paraId="05048A8C" w14:textId="77777777" w:rsidR="00081FDD" w:rsidRPr="00AE5EA7" w:rsidRDefault="00081FDD" w:rsidP="00AF6222">
      <w:pPr>
        <w:numPr>
          <w:ilvl w:val="0"/>
          <w:numId w:val="41"/>
        </w:numPr>
        <w:spacing w:before="40"/>
        <w:rPr>
          <w:color w:val="313131"/>
          <w:szCs w:val="18"/>
        </w:rPr>
      </w:pPr>
      <w:r w:rsidRPr="00AE5EA7">
        <w:rPr>
          <w:rStyle w:val="Strong"/>
          <w:color w:val="313131"/>
        </w:rPr>
        <w:t>Forumul</w:t>
      </w:r>
      <w:r w:rsidRPr="00AE5EA7">
        <w:rPr>
          <w:color w:val="313131"/>
          <w:szCs w:val="18"/>
        </w:rPr>
        <w:t>: pentru a face schimb de opinii și a dezbate subiecte legate de Noul Bauhaus european;</w:t>
      </w:r>
    </w:p>
    <w:p w14:paraId="1A43DB0D" w14:textId="77777777" w:rsidR="00081FDD" w:rsidRPr="00AE5EA7" w:rsidRDefault="00081FDD" w:rsidP="00AF6222">
      <w:pPr>
        <w:numPr>
          <w:ilvl w:val="0"/>
          <w:numId w:val="41"/>
        </w:numPr>
        <w:spacing w:before="40"/>
        <w:rPr>
          <w:color w:val="313131"/>
          <w:szCs w:val="18"/>
        </w:rPr>
      </w:pPr>
      <w:r w:rsidRPr="00AE5EA7">
        <w:rPr>
          <w:rStyle w:val="Strong"/>
          <w:color w:val="313131"/>
        </w:rPr>
        <w:t>Târgul</w:t>
      </w:r>
      <w:r w:rsidRPr="00AE5EA7">
        <w:rPr>
          <w:color w:val="313131"/>
          <w:szCs w:val="18"/>
        </w:rPr>
        <w:t>: expunerea și prezentarea proiectelor și prototipurilor care reflectă și susțin valorile Noului Bauhaus european;</w:t>
      </w:r>
    </w:p>
    <w:p w14:paraId="3837526C" w14:textId="77777777" w:rsidR="00081FDD" w:rsidRPr="00AE5EA7" w:rsidRDefault="00081FDD" w:rsidP="00AF6222">
      <w:pPr>
        <w:numPr>
          <w:ilvl w:val="0"/>
          <w:numId w:val="41"/>
        </w:numPr>
        <w:spacing w:before="40"/>
        <w:rPr>
          <w:color w:val="313131"/>
          <w:szCs w:val="18"/>
        </w:rPr>
      </w:pPr>
      <w:r w:rsidRPr="00AE5EA7">
        <w:rPr>
          <w:rStyle w:val="Strong"/>
          <w:color w:val="313131"/>
        </w:rPr>
        <w:t>Festivalul</w:t>
      </w:r>
      <w:r w:rsidRPr="00AE5EA7">
        <w:rPr>
          <w:color w:val="313131"/>
          <w:szCs w:val="18"/>
        </w:rPr>
        <w:t>: un moment de sărbătoare care reunește cultura, arta și convivialitatea, sărbătorind libertatea de exprimare cu idei și viziuni radicale, inovatoare, disruptive.</w:t>
      </w:r>
    </w:p>
    <w:p w14:paraId="3D61C4C3" w14:textId="77777777" w:rsidR="00081FDD" w:rsidRPr="00AE5EA7" w:rsidRDefault="00081FDD"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În special, pentru Târg, se caută proiecte care să răspundă la valorile și principiile noului Bauhaus european și care să arate modul în care acestea pot face viitorul mai durabil, mai frumos și mai incluziv.</w:t>
      </w:r>
    </w:p>
    <w:p w14:paraId="6AC64A46" w14:textId="77777777" w:rsidR="00081FDD" w:rsidRPr="00AE5EA7" w:rsidRDefault="00081FDD"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Expoziția joacă un rol important în cadrul Festivalului, iar expozanții vor avea oportunitatea de a-și promova ideile și acțiunile prin prezentarea activităților de proiect la nivel european, precum și oportunitatea de networking, inclusiv sesiuni de prezentare către posibili investitori.</w:t>
      </w:r>
    </w:p>
    <w:p w14:paraId="541C4CAD" w14:textId="77777777" w:rsidR="00081FDD" w:rsidRPr="00AE5EA7" w:rsidRDefault="00081FDD"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Sunt eligibile persoanele fizice, organizații publice, o organizații neguvernamentale sau orice alte organizații non-profit active la nivel local, regional, național, european sau internațional.</w:t>
      </w:r>
    </w:p>
    <w:p w14:paraId="5CB65C64" w14:textId="77777777" w:rsidR="00081FDD" w:rsidRPr="00AE5EA7" w:rsidRDefault="00081FDD"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Mai multe detalii, precum și formularul de înscriere sunt disponibile </w:t>
      </w:r>
      <w:hyperlink r:id="rId37" w:history="1">
        <w:r w:rsidRPr="00AE5EA7">
          <w:rPr>
            <w:rStyle w:val="Hyperlink"/>
          </w:rPr>
          <w:t>aici</w:t>
        </w:r>
      </w:hyperlink>
      <w:r w:rsidRPr="00AE5EA7">
        <w:rPr>
          <w:rFonts w:ascii="Verdana" w:hAnsi="Verdana"/>
          <w:color w:val="313131"/>
          <w:sz w:val="18"/>
          <w:szCs w:val="18"/>
        </w:rPr>
        <w:t>.</w:t>
      </w:r>
    </w:p>
    <w:p w14:paraId="5B035679" w14:textId="77777777" w:rsidR="00081FDD" w:rsidRPr="00AE5EA7" w:rsidRDefault="00081FDD"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Înscrierile se pot face până la data de </w:t>
      </w:r>
      <w:r w:rsidRPr="00AE5EA7">
        <w:rPr>
          <w:rStyle w:val="Strong"/>
          <w:color w:val="313131"/>
        </w:rPr>
        <w:t>7 martie 2022</w:t>
      </w:r>
      <w:r w:rsidRPr="00AE5EA7">
        <w:rPr>
          <w:rFonts w:ascii="Verdana" w:hAnsi="Verdana"/>
          <w:color w:val="313131"/>
          <w:sz w:val="18"/>
          <w:szCs w:val="18"/>
        </w:rPr>
        <w:t>.</w:t>
      </w:r>
    </w:p>
    <w:p w14:paraId="34290564" w14:textId="77777777" w:rsidR="00081FDD" w:rsidRPr="00AE5EA7" w:rsidRDefault="00081FDD" w:rsidP="00AF6222">
      <w:pPr>
        <w:pStyle w:val="Stilsursa"/>
        <w:spacing w:before="40"/>
      </w:pPr>
      <w:r w:rsidRPr="00AE5EA7">
        <w:t>Sursa: EISMEA</w:t>
      </w:r>
    </w:p>
    <w:p w14:paraId="3337D835" w14:textId="24C09DCE" w:rsidR="00081FDD" w:rsidRPr="00AE5EA7" w:rsidRDefault="00081FDD" w:rsidP="00AF6222">
      <w:pPr>
        <w:pStyle w:val="separatorarticole"/>
        <w:spacing w:before="40"/>
      </w:pPr>
      <w:r w:rsidRPr="00AE5EA7">
        <w:t>*</w:t>
      </w:r>
    </w:p>
    <w:p w14:paraId="4CFF6EC8" w14:textId="77777777" w:rsidR="00A5497A" w:rsidRPr="00AE5EA7" w:rsidRDefault="00A5497A" w:rsidP="00AF6222">
      <w:pPr>
        <w:pStyle w:val="TitluArticolinINFOUE"/>
        <w:spacing w:before="40"/>
        <w:rPr>
          <w:lang w:eastAsia="ro-RO"/>
        </w:rPr>
      </w:pPr>
      <w:bookmarkStart w:id="152" w:name="_Toc96929075"/>
      <w:r w:rsidRPr="00AE5EA7">
        <w:t>Ultimul apel din cadrul programului Energetic în România finanțat din fonduri norvegiene a fost lansat!</w:t>
      </w:r>
      <w:bookmarkEnd w:id="152"/>
    </w:p>
    <w:p w14:paraId="7E49DF1F"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La 16 februarie 2022 a fost lansat ultimul apel din cadrul programului Energetic în România, finanțat prin fonduri norvegiene. Apelul urmărește să sprijine conștientizarea, formarea și dezvoltarea competențelor cu privire la energia regenerabilă, eficiența energetică și securitatea energetică (măsuri ușoare).</w:t>
      </w:r>
    </w:p>
    <w:p w14:paraId="73019AC0"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În cadrul acestui apel poate aplica orice entitate, publică sau privată, comercială, sau necomercială și organizație neguvernamentală, înființată ca persoană juridică în România.</w:t>
      </w:r>
    </w:p>
    <w:p w14:paraId="1F9AA692"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Bugetul total este de 3.000.000 de euro și sprijină activități precum:</w:t>
      </w:r>
    </w:p>
    <w:p w14:paraId="0AF4FB65" w14:textId="77777777" w:rsidR="00A5497A" w:rsidRPr="00AE5EA7" w:rsidRDefault="00A5497A" w:rsidP="00AF6222">
      <w:pPr>
        <w:numPr>
          <w:ilvl w:val="0"/>
          <w:numId w:val="37"/>
        </w:numPr>
        <w:spacing w:before="40"/>
        <w:rPr>
          <w:color w:val="313131"/>
          <w:szCs w:val="18"/>
        </w:rPr>
      </w:pPr>
      <w:r w:rsidRPr="00AE5EA7">
        <w:rPr>
          <w:color w:val="313131"/>
          <w:szCs w:val="18"/>
        </w:rPr>
        <w:t>Training, seminarii, mentorat, campanii media, sau similare, pe tema energiei regenerabile si eficienta energetica organizate de organizatii de afaceri (IMM-uri, companii mari, incubatoare, acceleratoare etc.). Activitățile pot fi adresate publicului larg, sectorului public (organizații, entități publice locale, regionale sau centrale), instituțiilor publice de învățământ sau mediului academic;</w:t>
      </w:r>
    </w:p>
    <w:p w14:paraId="735D08B0" w14:textId="77777777" w:rsidR="00A5497A" w:rsidRPr="00AE5EA7" w:rsidRDefault="00A5497A" w:rsidP="00AF6222">
      <w:pPr>
        <w:numPr>
          <w:ilvl w:val="0"/>
          <w:numId w:val="37"/>
        </w:numPr>
        <w:spacing w:before="40"/>
        <w:rPr>
          <w:color w:val="313131"/>
          <w:szCs w:val="18"/>
        </w:rPr>
      </w:pPr>
      <w:r w:rsidRPr="00AE5EA7">
        <w:rPr>
          <w:color w:val="313131"/>
          <w:szCs w:val="18"/>
        </w:rPr>
        <w:t>Conferințe sau ateliere de lucru care sensibilizează publicul larg sau autoritățile publice cu privire la energia regenerabilă sau la eficiența energetică;</w:t>
      </w:r>
    </w:p>
    <w:p w14:paraId="53232E37" w14:textId="77777777" w:rsidR="00A5497A" w:rsidRPr="00AE5EA7" w:rsidRDefault="00A5497A" w:rsidP="00AF6222">
      <w:pPr>
        <w:numPr>
          <w:ilvl w:val="0"/>
          <w:numId w:val="37"/>
        </w:numPr>
        <w:spacing w:before="40"/>
        <w:rPr>
          <w:color w:val="313131"/>
          <w:szCs w:val="18"/>
        </w:rPr>
      </w:pPr>
      <w:r w:rsidRPr="00AE5EA7">
        <w:rPr>
          <w:color w:val="313131"/>
          <w:szCs w:val="18"/>
        </w:rPr>
        <w:t>Dezvoltarea competențelor privind evaluarea preliminară, pregătirea (inclusiv atenuarea riscurilor) și dezvoltarea unei investiții în energie, inclusiv creșterea cunoștințelor despre cum să vindeți și cum să cumpărați eficiență energetică.</w:t>
      </w:r>
    </w:p>
    <w:p w14:paraId="07B0CB93"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Pentru mai multe informații puteți consulta rubrica noastră de </w:t>
      </w:r>
      <w:hyperlink r:id="rId38" w:tgtFrame="_blank" w:history="1">
        <w:r w:rsidRPr="00AE5EA7">
          <w:rPr>
            <w:rStyle w:val="Emphasis"/>
            <w:b/>
            <w:bCs/>
            <w:color w:val="0000FF"/>
            <w:u w:val="single"/>
          </w:rPr>
          <w:t>alte finanțări</w:t>
        </w:r>
      </w:hyperlink>
      <w:r w:rsidRPr="00AE5EA7">
        <w:rPr>
          <w:rFonts w:ascii="Verdana" w:hAnsi="Verdana"/>
          <w:color w:val="313131"/>
          <w:sz w:val="18"/>
          <w:szCs w:val="18"/>
        </w:rPr>
        <w:t>.</w:t>
      </w:r>
    </w:p>
    <w:p w14:paraId="3691EA9F" w14:textId="77777777" w:rsidR="00A5497A" w:rsidRPr="00AE5EA7" w:rsidRDefault="00A5497A" w:rsidP="00AF6222">
      <w:pPr>
        <w:pStyle w:val="Stilsursa"/>
        <w:spacing w:before="40"/>
      </w:pPr>
      <w:r w:rsidRPr="00AE5EA7">
        <w:t>Sursa: Innovation Norway</w:t>
      </w:r>
    </w:p>
    <w:p w14:paraId="79B3B42A" w14:textId="16E29813" w:rsidR="00A5497A" w:rsidRPr="00AE5EA7" w:rsidRDefault="00A5497A" w:rsidP="00AF6222">
      <w:pPr>
        <w:pStyle w:val="separatorarticole"/>
        <w:spacing w:before="40"/>
      </w:pPr>
      <w:r w:rsidRPr="00AE5EA7">
        <w:t>*</w:t>
      </w:r>
    </w:p>
    <w:p w14:paraId="589E0B4A" w14:textId="77777777" w:rsidR="00A5497A" w:rsidRPr="00AE5EA7" w:rsidRDefault="00A5497A" w:rsidP="00AF6222">
      <w:pPr>
        <w:pStyle w:val="TitluArticolinINFOUE"/>
        <w:spacing w:before="40" w:after="0"/>
        <w:rPr>
          <w:lang w:eastAsia="ro-RO"/>
        </w:rPr>
      </w:pPr>
      <w:bookmarkStart w:id="153" w:name="_Toc96929076"/>
      <w:r w:rsidRPr="00AE5EA7">
        <w:lastRenderedPageBreak/>
        <w:t>Începând cu 1 martie 2022 se lansează o nouă ediție Start ONG!</w:t>
      </w:r>
      <w:bookmarkEnd w:id="153"/>
    </w:p>
    <w:p w14:paraId="42240111"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Programul Start ONG oferă și în 2022 finanțări în valoare totală de €500.000 </w:t>
      </w:r>
      <w:r w:rsidRPr="00AE5EA7">
        <w:rPr>
          <w:rStyle w:val="Strong"/>
          <w:color w:val="313131"/>
        </w:rPr>
        <w:t>organizațiilor neguvernamentale la început de drum, instituțiilor de învățământ și grupurilor informale.</w:t>
      </w:r>
    </w:p>
    <w:p w14:paraId="7A49CFF9"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Pe data de </w:t>
      </w:r>
      <w:r w:rsidRPr="00AE5EA7">
        <w:rPr>
          <w:rStyle w:val="Strong"/>
          <w:color w:val="313131"/>
        </w:rPr>
        <w:t>1 martie 2022, ora 9:00</w:t>
      </w:r>
      <w:r w:rsidRPr="00AE5EA7">
        <w:rPr>
          <w:rFonts w:ascii="Verdana" w:hAnsi="Verdana"/>
          <w:color w:val="313131"/>
          <w:sz w:val="18"/>
          <w:szCs w:val="18"/>
        </w:rPr>
        <w:t>, se lansează primul apel din ediția 2022 a programului, urmând ca în fiecare lună, pe data de 1, să fie lansate noi apeluri, până în </w:t>
      </w:r>
      <w:r w:rsidRPr="00AE5EA7">
        <w:rPr>
          <w:rStyle w:val="Strong"/>
          <w:color w:val="313131"/>
        </w:rPr>
        <w:t>decembrie 2022</w:t>
      </w:r>
      <w:r w:rsidRPr="00AE5EA7">
        <w:rPr>
          <w:rFonts w:ascii="Verdana" w:hAnsi="Verdana"/>
          <w:color w:val="313131"/>
          <w:sz w:val="18"/>
          <w:szCs w:val="18"/>
        </w:rPr>
        <w:t>.</w:t>
      </w:r>
    </w:p>
    <w:p w14:paraId="7CBC8BC0"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Direcțiile principale ale programului rămân </w:t>
      </w:r>
      <w:r w:rsidRPr="00AE5EA7">
        <w:rPr>
          <w:rStyle w:val="Strong"/>
          <w:color w:val="313131"/>
        </w:rPr>
        <w:t>educația</w:t>
      </w:r>
      <w:r w:rsidRPr="00AE5EA7">
        <w:rPr>
          <w:rFonts w:ascii="Verdana" w:hAnsi="Verdana"/>
          <w:color w:val="313131"/>
          <w:sz w:val="18"/>
          <w:szCs w:val="18"/>
        </w:rPr>
        <w:t>, </w:t>
      </w:r>
      <w:r w:rsidRPr="00AE5EA7">
        <w:rPr>
          <w:rStyle w:val="Strong"/>
          <w:color w:val="313131"/>
        </w:rPr>
        <w:t>socialul</w:t>
      </w:r>
      <w:r w:rsidRPr="00AE5EA7">
        <w:rPr>
          <w:rFonts w:ascii="Verdana" w:hAnsi="Verdana"/>
          <w:color w:val="313131"/>
          <w:sz w:val="18"/>
          <w:szCs w:val="18"/>
        </w:rPr>
        <w:t>, </w:t>
      </w:r>
      <w:r w:rsidRPr="00AE5EA7">
        <w:rPr>
          <w:rStyle w:val="Strong"/>
          <w:color w:val="313131"/>
        </w:rPr>
        <w:t>sănătatea</w:t>
      </w:r>
      <w:r w:rsidRPr="00AE5EA7">
        <w:rPr>
          <w:rFonts w:ascii="Verdana" w:hAnsi="Verdana"/>
          <w:color w:val="313131"/>
          <w:sz w:val="18"/>
          <w:szCs w:val="18"/>
        </w:rPr>
        <w:t>, </w:t>
      </w:r>
      <w:r w:rsidRPr="00AE5EA7">
        <w:rPr>
          <w:rStyle w:val="Strong"/>
          <w:color w:val="313131"/>
        </w:rPr>
        <w:t>mediul</w:t>
      </w:r>
      <w:r w:rsidRPr="00AE5EA7">
        <w:rPr>
          <w:rFonts w:ascii="Verdana" w:hAnsi="Verdana"/>
          <w:color w:val="313131"/>
          <w:sz w:val="18"/>
          <w:szCs w:val="18"/>
        </w:rPr>
        <w:t> și </w:t>
      </w:r>
      <w:r w:rsidRPr="00AE5EA7">
        <w:rPr>
          <w:rStyle w:val="Strong"/>
          <w:color w:val="313131"/>
        </w:rPr>
        <w:t>cultura</w:t>
      </w:r>
      <w:r w:rsidRPr="00AE5EA7">
        <w:rPr>
          <w:rFonts w:ascii="Verdana" w:hAnsi="Verdana"/>
          <w:color w:val="313131"/>
          <w:sz w:val="18"/>
          <w:szCs w:val="18"/>
        </w:rPr>
        <w:t>, în cadrul cărora aplicanții pot să vină cu idei de proiecte care să aibă un impact pozitiv în comunitate, atât pe plan local, cât și național.</w:t>
      </w:r>
    </w:p>
    <w:p w14:paraId="684A2E2C"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În fiecare lună, organizațiile pot aplica pentru unul dintre cele 3 praguri de finanțare:</w:t>
      </w:r>
    </w:p>
    <w:p w14:paraId="00DA3DB5" w14:textId="77777777" w:rsidR="00A5497A" w:rsidRPr="00AE5EA7" w:rsidRDefault="00A5497A" w:rsidP="00AF6222">
      <w:pPr>
        <w:numPr>
          <w:ilvl w:val="0"/>
          <w:numId w:val="36"/>
        </w:numPr>
        <w:spacing w:before="40"/>
        <w:rPr>
          <w:color w:val="313131"/>
          <w:szCs w:val="18"/>
        </w:rPr>
      </w:pPr>
      <w:r w:rsidRPr="00AE5EA7">
        <w:rPr>
          <w:color w:val="313131"/>
          <w:szCs w:val="18"/>
        </w:rPr>
        <w:t>pragul I, cu o valoare de până la 1.000 de euro;</w:t>
      </w:r>
    </w:p>
    <w:p w14:paraId="4F7DF58F" w14:textId="77777777" w:rsidR="00A5497A" w:rsidRPr="00AE5EA7" w:rsidRDefault="00A5497A" w:rsidP="00AF6222">
      <w:pPr>
        <w:numPr>
          <w:ilvl w:val="0"/>
          <w:numId w:val="36"/>
        </w:numPr>
        <w:spacing w:before="40"/>
        <w:rPr>
          <w:color w:val="313131"/>
          <w:szCs w:val="18"/>
        </w:rPr>
      </w:pPr>
      <w:r w:rsidRPr="00AE5EA7">
        <w:rPr>
          <w:color w:val="313131"/>
          <w:szCs w:val="18"/>
        </w:rPr>
        <w:t>pragul II, cu o valoare cuprinsă între 1.000 și 5.000 de euro;</w:t>
      </w:r>
    </w:p>
    <w:p w14:paraId="2E42609E" w14:textId="77777777" w:rsidR="00A5497A" w:rsidRPr="00AE5EA7" w:rsidRDefault="00A5497A" w:rsidP="00AF6222">
      <w:pPr>
        <w:numPr>
          <w:ilvl w:val="0"/>
          <w:numId w:val="36"/>
        </w:numPr>
        <w:spacing w:before="40"/>
        <w:rPr>
          <w:color w:val="313131"/>
          <w:szCs w:val="18"/>
        </w:rPr>
      </w:pPr>
      <w:r w:rsidRPr="00AE5EA7">
        <w:rPr>
          <w:color w:val="313131"/>
          <w:szCs w:val="18"/>
        </w:rPr>
        <w:t>pragul III, cu o valoare cuprinsă între 5.000 și 10.000 de euro.</w:t>
      </w:r>
    </w:p>
    <w:p w14:paraId="43816165"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Evaluarea proiectelor va fi realizată de către echipa programului, urmând principiul </w:t>
      </w:r>
      <w:r w:rsidRPr="00AE5EA7">
        <w:rPr>
          <w:rStyle w:val="Strong"/>
          <w:color w:val="313131"/>
        </w:rPr>
        <w:t>primul aplicant, primul evaluat, </w:t>
      </w:r>
      <w:r w:rsidRPr="00AE5EA7">
        <w:rPr>
          <w:rFonts w:ascii="Verdana" w:hAnsi="Verdana"/>
          <w:color w:val="313131"/>
          <w:sz w:val="18"/>
          <w:szCs w:val="18"/>
        </w:rPr>
        <w:t>acesta fiind de altfel și motivul pentru care accentul se pune în program pe simplificarea aplicării, nu pe un proces birocratic și aptitudini de specialitate privind scrierea de proiecte. Proiectele vor fie evaluate de echipa programului până la epuizarea bugetului stabilit pe un anumit pilon, iar proiectele câștigătoare vor fi monitorizare pentru o implementare cât mai eficientă pe toată durata acestora. Cei care nu reușesc să obțină finanțare într-o lună pot să reaplice în oricare dintre lunile următoare. Orice organizație/instituție/grup pot beneficia de maximum </w:t>
      </w:r>
      <w:r w:rsidRPr="00AE5EA7">
        <w:rPr>
          <w:rStyle w:val="Strong"/>
          <w:color w:val="313131"/>
        </w:rPr>
        <w:t>2 proiecte finanțate</w:t>
      </w:r>
      <w:r w:rsidRPr="00AE5EA7">
        <w:rPr>
          <w:rFonts w:ascii="Verdana" w:hAnsi="Verdana"/>
          <w:color w:val="313131"/>
          <w:sz w:val="18"/>
          <w:szCs w:val="18"/>
        </w:rPr>
        <w:t> printr-o ediție a programului.</w:t>
      </w:r>
    </w:p>
    <w:p w14:paraId="55822AEB"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O altă componentă pe care se va pune accent în noua ediție a programului este cea de </w:t>
      </w:r>
      <w:r w:rsidRPr="00AE5EA7">
        <w:rPr>
          <w:rStyle w:val="Strong"/>
          <w:color w:val="313131"/>
        </w:rPr>
        <w:t>dezvoltare organizațională</w:t>
      </w:r>
      <w:r w:rsidRPr="00AE5EA7">
        <w:rPr>
          <w:rFonts w:ascii="Verdana" w:hAnsi="Verdana"/>
          <w:color w:val="313131"/>
          <w:sz w:val="18"/>
          <w:szCs w:val="18"/>
        </w:rPr>
        <w:t>. Câștigătorii fiecărei ediții vor beneficia de ateliere de formare specifice care îi vor ajuta în implementarea cât mai eficientă a proiectului, dar și organizațiile neguvernamentale, instituțiile de învățământ, grupurile informale care urmăresc programul pe canalele de comunicare vor fi la curent cu ateliere specifice mediului guvernamental și nu numai.</w:t>
      </w:r>
    </w:p>
    <w:p w14:paraId="7DB5614B"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Pentru mai multe informații puteți consulta rubrica noastră de </w:t>
      </w:r>
      <w:hyperlink r:id="rId39" w:tgtFrame="_blank" w:history="1">
        <w:r w:rsidRPr="00AE5EA7">
          <w:rPr>
            <w:rStyle w:val="Emphasis"/>
            <w:b/>
            <w:bCs/>
            <w:color w:val="0000FF"/>
            <w:u w:val="single"/>
          </w:rPr>
          <w:t>alte finanțări</w:t>
        </w:r>
      </w:hyperlink>
      <w:r w:rsidRPr="00AE5EA7">
        <w:rPr>
          <w:rFonts w:ascii="Verdana" w:hAnsi="Verdana"/>
          <w:color w:val="313131"/>
          <w:sz w:val="18"/>
          <w:szCs w:val="18"/>
        </w:rPr>
        <w:t>.</w:t>
      </w:r>
    </w:p>
    <w:p w14:paraId="7D4CB183" w14:textId="77777777" w:rsidR="00A5497A" w:rsidRPr="00AE5EA7" w:rsidRDefault="00A5497A" w:rsidP="00AF6222">
      <w:pPr>
        <w:pStyle w:val="Stilsursa"/>
        <w:spacing w:before="40"/>
      </w:pPr>
      <w:r w:rsidRPr="00AE5EA7">
        <w:t>Sursa: Start ONG</w:t>
      </w:r>
    </w:p>
    <w:p w14:paraId="3BFDE533" w14:textId="5DBB68E3" w:rsidR="00A5497A" w:rsidRPr="00AE5EA7" w:rsidRDefault="00A5497A" w:rsidP="00AF6222">
      <w:pPr>
        <w:pStyle w:val="separatorarticole"/>
        <w:spacing w:before="40"/>
      </w:pPr>
      <w:r w:rsidRPr="00AE5EA7">
        <w:t>*</w:t>
      </w:r>
    </w:p>
    <w:p w14:paraId="77BC6F02" w14:textId="77777777" w:rsidR="00A5497A" w:rsidRPr="00AE5EA7" w:rsidRDefault="00A5497A" w:rsidP="00AF6222">
      <w:pPr>
        <w:pStyle w:val="TitluArticolinINFOUE"/>
        <w:spacing w:before="40"/>
        <w:rPr>
          <w:lang w:eastAsia="ro-RO"/>
        </w:rPr>
      </w:pPr>
      <w:bookmarkStart w:id="154" w:name="_Toc96929077"/>
      <w:r w:rsidRPr="00AE5EA7">
        <w:t>MusicAIRE: Redresarea sectorului muzical în Europa ca urmare a efectelor produse de COVID-19</w:t>
      </w:r>
      <w:bookmarkEnd w:id="154"/>
    </w:p>
    <w:p w14:paraId="12FBA63A"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Organizațiile publice sau private cu personalitate juridică, cum ar fi organizațiile non-profit (private sau publice); autoritățile publice (naționale, regionale, locale); organizațiile internaționale; entitățile cu profit pot aplica până la 28 martie 2022 în cadrul apelului MusicAIRE, parte a Music Moves Europe, ce reprezintă cadrul general al Comisiei Europene pentru proiecte și acțiuni în sprijinul sectorului muzical european.</w:t>
      </w:r>
    </w:p>
    <w:p w14:paraId="5B24B458"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Style w:val="Strong"/>
          <w:color w:val="313131"/>
        </w:rPr>
        <w:t>Scopul general</w:t>
      </w:r>
      <w:r w:rsidRPr="00AE5EA7">
        <w:rPr>
          <w:rFonts w:ascii="Verdana" w:hAnsi="Verdana"/>
          <w:color w:val="313131"/>
          <w:sz w:val="18"/>
          <w:szCs w:val="18"/>
        </w:rPr>
        <w:t> al MusicAIRE este de a sprijini redresarea sectorului muzical în Europa prin proiectarea și testarea unei scheme de sprijin care poate face față provocărilor generate de pandemia COVID-19, încurajând în același timp sustenabilitatea ecosistemului muzical. Proiectul va lansa două apeluri deschise.</w:t>
      </w:r>
    </w:p>
    <w:p w14:paraId="2A27736E"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Proiectele care vor fi finanțate prin MusicAIRE vor trebui să ofere strategii, metodologii și acțiuni pentru sectorul muzical pentru a aborda redresarea din criza COVID-19 în cel puțin unul dintre următoarele </w:t>
      </w:r>
      <w:r w:rsidRPr="00AE5EA7">
        <w:rPr>
          <w:rStyle w:val="Strong"/>
          <w:color w:val="313131"/>
        </w:rPr>
        <w:t>domenii tematice</w:t>
      </w:r>
      <w:r w:rsidRPr="00AE5EA7">
        <w:rPr>
          <w:rFonts w:ascii="Verdana" w:hAnsi="Verdana"/>
          <w:color w:val="313131"/>
          <w:sz w:val="18"/>
          <w:szCs w:val="18"/>
        </w:rPr>
        <w:t>:</w:t>
      </w:r>
    </w:p>
    <w:p w14:paraId="4684062C" w14:textId="77777777" w:rsidR="00A5497A" w:rsidRPr="00AE5EA7" w:rsidRDefault="00A5497A" w:rsidP="00AF6222">
      <w:pPr>
        <w:numPr>
          <w:ilvl w:val="0"/>
          <w:numId w:val="35"/>
        </w:numPr>
        <w:spacing w:before="40"/>
        <w:rPr>
          <w:color w:val="313131"/>
          <w:szCs w:val="18"/>
        </w:rPr>
      </w:pPr>
      <w:r w:rsidRPr="00AE5EA7">
        <w:rPr>
          <w:color w:val="313131"/>
          <w:szCs w:val="18"/>
        </w:rPr>
        <w:t>Recuperare verde;</w:t>
      </w:r>
    </w:p>
    <w:p w14:paraId="51ED9D33" w14:textId="77777777" w:rsidR="00A5497A" w:rsidRPr="00AE5EA7" w:rsidRDefault="00A5497A" w:rsidP="00AF6222">
      <w:pPr>
        <w:numPr>
          <w:ilvl w:val="0"/>
          <w:numId w:val="35"/>
        </w:numPr>
        <w:spacing w:before="40"/>
        <w:rPr>
          <w:color w:val="313131"/>
          <w:szCs w:val="18"/>
        </w:rPr>
      </w:pPr>
      <w:r w:rsidRPr="00AE5EA7">
        <w:rPr>
          <w:color w:val="313131"/>
          <w:szCs w:val="18"/>
        </w:rPr>
        <w:t>Recuperare digitală;</w:t>
      </w:r>
    </w:p>
    <w:p w14:paraId="23B497DA" w14:textId="77777777" w:rsidR="00A5497A" w:rsidRPr="00AE5EA7" w:rsidRDefault="00A5497A" w:rsidP="00AF6222">
      <w:pPr>
        <w:numPr>
          <w:ilvl w:val="0"/>
          <w:numId w:val="35"/>
        </w:numPr>
        <w:spacing w:before="40"/>
        <w:rPr>
          <w:color w:val="313131"/>
          <w:szCs w:val="18"/>
        </w:rPr>
      </w:pPr>
      <w:r w:rsidRPr="00AE5EA7">
        <w:rPr>
          <w:color w:val="313131"/>
          <w:szCs w:val="18"/>
        </w:rPr>
        <w:t>Recuperare justă și rezistentă.</w:t>
      </w:r>
    </w:p>
    <w:p w14:paraId="6232565E" w14:textId="5F0FB768"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Style w:val="Strong"/>
          <w:color w:val="313131"/>
        </w:rPr>
        <w:t>Bugetul total</w:t>
      </w:r>
      <w:r w:rsidRPr="00AE5EA7">
        <w:rPr>
          <w:rFonts w:ascii="Verdana" w:hAnsi="Verdana"/>
          <w:color w:val="313131"/>
          <w:sz w:val="18"/>
          <w:szCs w:val="18"/>
        </w:rPr>
        <w:t> disponibil pentru acest apel este de 690.000 EUR. Acest buget poate fi majorat cu maximum 20%.</w:t>
      </w:r>
    </w:p>
    <w:p w14:paraId="40283BA0" w14:textId="77777777" w:rsidR="00A5497A" w:rsidRPr="00AE5EA7" w:rsidRDefault="00A5497A" w:rsidP="00AF6222">
      <w:pPr>
        <w:pStyle w:val="NormalWeb"/>
        <w:spacing w:before="40" w:beforeAutospacing="0" w:after="0" w:afterAutospacing="0"/>
        <w:rPr>
          <w:rFonts w:ascii="Verdana" w:hAnsi="Verdana"/>
          <w:color w:val="313131"/>
          <w:sz w:val="18"/>
          <w:szCs w:val="18"/>
        </w:rPr>
      </w:pPr>
      <w:r w:rsidRPr="00AE5EA7">
        <w:rPr>
          <w:rFonts w:ascii="Verdana" w:hAnsi="Verdana"/>
          <w:color w:val="313131"/>
          <w:sz w:val="18"/>
          <w:szCs w:val="18"/>
        </w:rPr>
        <w:t>Pentru mai multe informații puteți consulta rubrica noastră de </w:t>
      </w:r>
      <w:hyperlink r:id="rId40" w:tgtFrame="_blank" w:history="1">
        <w:r w:rsidRPr="00AE5EA7">
          <w:rPr>
            <w:rStyle w:val="Emphasis"/>
            <w:b/>
            <w:bCs/>
            <w:color w:val="0000FF"/>
            <w:u w:val="single"/>
          </w:rPr>
          <w:t>alte finanțări</w:t>
        </w:r>
        <w:r w:rsidRPr="00AE5EA7">
          <w:rPr>
            <w:rStyle w:val="Hyperlink"/>
          </w:rPr>
          <w:t>.</w:t>
        </w:r>
      </w:hyperlink>
    </w:p>
    <w:p w14:paraId="16ABCE73" w14:textId="77777777" w:rsidR="00A5497A" w:rsidRPr="00AE5EA7" w:rsidRDefault="00A5497A" w:rsidP="00AF6222">
      <w:pPr>
        <w:pStyle w:val="Stilsursa"/>
        <w:spacing w:before="40"/>
      </w:pPr>
      <w:r w:rsidRPr="00AE5EA7">
        <w:t>Sursa: MusicAIRE</w:t>
      </w:r>
    </w:p>
    <w:p w14:paraId="0A755552" w14:textId="581BC268" w:rsidR="00A5497A" w:rsidRPr="00AE5EA7" w:rsidRDefault="00A5497A" w:rsidP="00AF6222">
      <w:pPr>
        <w:pStyle w:val="separatorarticole"/>
        <w:spacing w:before="40"/>
      </w:pPr>
      <w:r w:rsidRPr="00AE5EA7">
        <w:t>*</w:t>
      </w:r>
    </w:p>
    <w:p w14:paraId="4532F2D5" w14:textId="7E942180"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A3B5127" w14:textId="37790202" w:rsidR="0001178E" w:rsidRDefault="0001178E" w:rsidP="0001178E">
      <w:pPr>
        <w:pStyle w:val="DinactualitateaEU"/>
      </w:pPr>
      <w:bookmarkStart w:id="155" w:name="_Toc96929078"/>
      <w:r>
        <w:lastRenderedPageBreak/>
        <w:t>Din actualitatea europeană</w:t>
      </w:r>
      <w:bookmarkEnd w:id="155"/>
    </w:p>
    <w:p w14:paraId="053D8A33" w14:textId="77777777" w:rsidR="00A75688" w:rsidRPr="00A75688" w:rsidRDefault="00A75688" w:rsidP="00A75688">
      <w:pPr>
        <w:pStyle w:val="TitluArticolinINFOUE"/>
        <w:rPr>
          <w:lang w:eastAsia="ro-RO"/>
        </w:rPr>
      </w:pPr>
      <w:bookmarkStart w:id="156" w:name="_Toc96929079"/>
      <w:r w:rsidRPr="00A75688">
        <w:t>REACT-EU: 642 milioane EUR pentru a sprijini redresarea economică și tranziția digitală și verde în Belgia, Cehia, Polonia și România</w:t>
      </w:r>
      <w:bookmarkEnd w:id="156"/>
    </w:p>
    <w:p w14:paraId="24EB8CD0" w14:textId="77777777" w:rsidR="00A75688" w:rsidRPr="00A75688" w:rsidRDefault="00A75688" w:rsidP="00A75688">
      <w:pPr>
        <w:pStyle w:val="ecl-page-header-standardiseddescription"/>
        <w:shd w:val="clear" w:color="auto" w:fill="FFFFFF"/>
        <w:spacing w:before="120" w:beforeAutospacing="0" w:after="0" w:afterAutospacing="0"/>
        <w:rPr>
          <w:rFonts w:ascii="Verdana" w:hAnsi="Verdana" w:cs="Arial"/>
          <w:color w:val="404040"/>
          <w:sz w:val="18"/>
          <w:szCs w:val="18"/>
        </w:rPr>
      </w:pPr>
      <w:r w:rsidRPr="00A75688">
        <w:rPr>
          <w:rFonts w:ascii="Verdana" w:hAnsi="Verdana" w:cs="Arial"/>
          <w:color w:val="404040"/>
          <w:sz w:val="18"/>
          <w:szCs w:val="18"/>
        </w:rPr>
        <w:t>REACT-EU: 642 milioane EUR pentru a sprijini redresarea economică și tranziția digitală și verde în Belgia, Cehia, Polonia și România</w:t>
      </w:r>
    </w:p>
    <w:p w14:paraId="5692E737" w14:textId="4121D66E" w:rsidR="00A75688" w:rsidRPr="00A75688" w:rsidRDefault="00A75688" w:rsidP="00A75688">
      <w:pPr>
        <w:rPr>
          <w:color w:val="404040"/>
          <w:szCs w:val="18"/>
        </w:rPr>
      </w:pPr>
      <w:r w:rsidRPr="00A75688">
        <w:rPr>
          <w:noProof/>
          <w:szCs w:val="18"/>
          <w:lang w:eastAsia="ro-RO"/>
        </w:rPr>
        <w:drawing>
          <wp:anchor distT="0" distB="0" distL="114300" distR="114300" simplePos="0" relativeHeight="252023808" behindDoc="0" locked="0" layoutInCell="1" allowOverlap="1" wp14:anchorId="25D64E88" wp14:editId="1ABC33F4">
            <wp:simplePos x="0" y="0"/>
            <wp:positionH relativeFrom="column">
              <wp:posOffset>-2998</wp:posOffset>
            </wp:positionH>
            <wp:positionV relativeFrom="paragraph">
              <wp:posOffset>71666</wp:posOffset>
            </wp:positionV>
            <wp:extent cx="1967023" cy="1315759"/>
            <wp:effectExtent l="0" t="0" r="0" b="0"/>
            <wp:wrapSquare wrapText="bothSides"/>
            <wp:docPr id="7" name="Picture 7" descr="React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ctEUR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7023" cy="1315759"/>
                    </a:xfrm>
                    <a:prstGeom prst="rect">
                      <a:avLst/>
                    </a:prstGeom>
                    <a:noFill/>
                    <a:ln>
                      <a:noFill/>
                    </a:ln>
                  </pic:spPr>
                </pic:pic>
              </a:graphicData>
            </a:graphic>
          </wp:anchor>
        </w:drawing>
      </w:r>
      <w:r w:rsidRPr="00A75688">
        <w:rPr>
          <w:color w:val="404040"/>
          <w:szCs w:val="18"/>
        </w:rPr>
        <w:t>Datorită celor 642 milioane EUR puse la dispoziție în cadrul </w:t>
      </w:r>
      <w:hyperlink r:id="rId42" w:history="1">
        <w:r w:rsidRPr="00A75688">
          <w:rPr>
            <w:rStyle w:val="Hyperlink"/>
            <w:rFonts w:cs="Arial"/>
            <w:color w:val="004494"/>
          </w:rPr>
          <w:t>Asistenței de redresare pentru coeziune și teritoriile Europei (REACT-EU)</w:t>
        </w:r>
      </w:hyperlink>
      <w:hyperlink r:id="rId43" w:history="1">
        <w:r w:rsidRPr="00A75688">
          <w:rPr>
            <w:rStyle w:val="wtoffscreen"/>
            <w:color w:val="999999"/>
            <w:szCs w:val="18"/>
            <w:u w:val="single"/>
            <w:bdr w:val="single" w:sz="6" w:space="2" w:color="AAAAAA" w:frame="1"/>
            <w:shd w:val="clear" w:color="auto" w:fill="FFFFFF"/>
          </w:rPr>
          <w:t>Căutați traducerile disponibile pentru linkul precedent</w:t>
        </w:r>
        <w:r w:rsidRPr="00A75688">
          <w:rPr>
            <w:rStyle w:val="Hyperlink"/>
            <w:color w:val="AAAAAA"/>
            <w:bdr w:val="single" w:sz="6" w:space="2" w:color="AAAAAA" w:frame="1"/>
            <w:shd w:val="clear" w:color="auto" w:fill="FFFFFF"/>
          </w:rPr>
          <w:t>EN</w:t>
        </w:r>
        <w:r w:rsidRPr="00A75688">
          <w:rPr>
            <w:rStyle w:val="Hyperlink"/>
            <w:b/>
            <w:bCs/>
            <w:color w:val="CCCCCC"/>
            <w:bdr w:val="single" w:sz="6" w:space="2" w:color="AAAAAA" w:frame="1"/>
            <w:shd w:val="clear" w:color="auto" w:fill="FFFFFF"/>
          </w:rPr>
          <w:t>•••</w:t>
        </w:r>
      </w:hyperlink>
      <w:r w:rsidRPr="00A75688">
        <w:rPr>
          <w:color w:val="404040"/>
          <w:szCs w:val="18"/>
        </w:rPr>
        <w:t>, regiunile din Belgia, Cehia, Polonia și România vor fi acum în măsură să sprijine în continuare redresarea lor economică și tranziția lor digitală și verde.</w:t>
      </w:r>
    </w:p>
    <w:p w14:paraId="5CBD0883"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t>În România, 216 milioane EUR vor face posibilă dotarea spitalelor publice cu echipamente medicale și de protecție specifice și îmbunătățirea condițiilor sanitare din școli pentru a proteja mai bine elevii și profesorii de infectarea cu coronavirus.</w:t>
      </w:r>
    </w:p>
    <w:p w14:paraId="5AFC7A21"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t>În Belgia, regiunea Bruxelles primește resurse suplimentare în valoare de 6 milioane EUR pentru a sprijini întreprinderile mici și mijlocii (IMM-urile) din sectoarele cele mai afectate de pandemia de coronavirus, precum industria ospitalității, sănătatea și construcțiile. Aceste fonduri vor sprijini, de asemenea, digitalizarea teritoriului pentru a finanța, de exemplu, emiterea electronică a biletelor în sectorul cultural și al turismului.</w:t>
      </w:r>
    </w:p>
    <w:p w14:paraId="22E63D73"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t>În Polonia, regiunea Łódzkie primește 26 milioane EUR pentru a sprijini IMM-urile, sectorul sănătății și cel al energiei din surse regenerabile. În plus, programul „Polonia digitală” primește 81 milioane EUR pentru proiecte de dezvoltare a unor instrumente informatice inovatoare pentru serviciile publice și pentru digitalizarea generală a administrației publice locale, care includ îmbunătățirea securității cibernetice și formarea personalului administrativ în domeniul competențelor digitale.</w:t>
      </w:r>
    </w:p>
    <w:p w14:paraId="75D0291C"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t>În Cehia, „Programul operațional regional integrat” primește un supliment de 313 milioane EUR pentru a sprijini dezvoltarea și modernizarea rețelei de furnizori de servicii medicale, pompieri și servicii medicale de urgență.</w:t>
      </w:r>
    </w:p>
    <w:p w14:paraId="4DC60A30"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t>REACT-EU face parte din </w:t>
      </w:r>
      <w:hyperlink r:id="rId44" w:history="1">
        <w:r w:rsidRPr="00A75688">
          <w:rPr>
            <w:rStyle w:val="Hyperlink"/>
            <w:rFonts w:cs="Arial"/>
            <w:color w:val="004494"/>
          </w:rPr>
          <w:t>NextGenerationEU</w:t>
        </w:r>
      </w:hyperlink>
      <w:hyperlink r:id="rId45" w:history="1">
        <w:r w:rsidRPr="00A75688">
          <w:rPr>
            <w:rStyle w:val="wtoffscreen"/>
            <w:rFonts w:ascii="Verdana" w:hAnsi="Verdana"/>
            <w:color w:val="BBBBBB"/>
            <w:sz w:val="18"/>
            <w:szCs w:val="18"/>
            <w:u w:val="single"/>
            <w:bdr w:val="none" w:sz="0" w:space="0" w:color="auto" w:frame="1"/>
          </w:rPr>
          <w:t>Căutați traducerile disponibile pentru linkul precedent</w:t>
        </w:r>
        <w:r w:rsidRPr="00A75688">
          <w:rPr>
            <w:rStyle w:val="Hyperlink"/>
            <w:color w:val="BBBBBB"/>
            <w:bdr w:val="none" w:sz="0" w:space="0" w:color="auto" w:frame="1"/>
          </w:rPr>
          <w:t>EN</w:t>
        </w:r>
        <w:r w:rsidRPr="00A75688">
          <w:rPr>
            <w:rStyle w:val="Hyperlink"/>
            <w:b/>
            <w:bCs/>
            <w:color w:val="CCCCCC"/>
            <w:bdr w:val="none" w:sz="0" w:space="0" w:color="auto" w:frame="1"/>
          </w:rPr>
          <w:t>•••</w:t>
        </w:r>
      </w:hyperlink>
      <w:r w:rsidRPr="00A75688">
        <w:rPr>
          <w:rFonts w:ascii="Verdana" w:hAnsi="Verdana"/>
          <w:color w:val="404040"/>
          <w:sz w:val="18"/>
          <w:szCs w:val="18"/>
        </w:rPr>
        <w:t> și oferă fonduri suplimentare în valoare de 50,6 miliarde EUR (în prețuri curente) în cursul anilor 2021 și 2022, pentru programele cuprinse în politica de coeziune pentru perioada 2014-2020.</w:t>
      </w:r>
    </w:p>
    <w:p w14:paraId="40AC5C8C" w14:textId="062B7859" w:rsidR="00A75688" w:rsidRPr="00A75688" w:rsidRDefault="00A75688" w:rsidP="00A75688">
      <w:pPr>
        <w:pStyle w:val="separatorarticole"/>
      </w:pPr>
      <w:r w:rsidRPr="00A75688">
        <w:t>*</w:t>
      </w:r>
    </w:p>
    <w:p w14:paraId="19EF5E6F" w14:textId="77777777" w:rsidR="00A75688" w:rsidRPr="00A75688" w:rsidRDefault="00A75688" w:rsidP="00A75688">
      <w:pPr>
        <w:pStyle w:val="TitluArticolinINFOUE"/>
        <w:rPr>
          <w:lang w:eastAsia="ro-RO"/>
        </w:rPr>
      </w:pPr>
      <w:bookmarkStart w:id="157" w:name="_Toc96929080"/>
      <w:r w:rsidRPr="00A75688">
        <w:t>UE coordonează furnizarea de asistență de urgență Ucrainei și este pregătită să ajute țările învecinate</w:t>
      </w:r>
      <w:bookmarkEnd w:id="157"/>
    </w:p>
    <w:p w14:paraId="0F068A91" w14:textId="77777777" w:rsidR="00A75688" w:rsidRPr="00A75688" w:rsidRDefault="00A75688" w:rsidP="00A75688">
      <w:pPr>
        <w:pStyle w:val="ecl-page-header-standardiseddescription"/>
        <w:shd w:val="clear" w:color="auto" w:fill="FFFFFF"/>
        <w:spacing w:before="120" w:beforeAutospacing="0" w:after="0" w:afterAutospacing="0"/>
        <w:rPr>
          <w:rFonts w:ascii="Verdana" w:hAnsi="Verdana" w:cs="Arial"/>
          <w:color w:val="404040"/>
          <w:sz w:val="18"/>
          <w:szCs w:val="18"/>
        </w:rPr>
      </w:pPr>
      <w:r w:rsidRPr="00A75688">
        <w:rPr>
          <w:rFonts w:ascii="Verdana" w:hAnsi="Verdana" w:cs="Arial"/>
          <w:color w:val="404040"/>
          <w:sz w:val="18"/>
          <w:szCs w:val="18"/>
        </w:rPr>
        <w:t>În urma solicitării guvernului ucrainean de asistență în materie de protecție civilă, Comisia Europeană canalizează și alte materiale de îngrijire medicală.</w:t>
      </w:r>
    </w:p>
    <w:p w14:paraId="282DD271" w14:textId="1915898E" w:rsidR="00A75688" w:rsidRPr="00A75688" w:rsidRDefault="00A75688" w:rsidP="00A75688">
      <w:pPr>
        <w:rPr>
          <w:color w:val="404040"/>
          <w:szCs w:val="18"/>
        </w:rPr>
      </w:pPr>
      <w:r w:rsidRPr="00A75688">
        <w:rPr>
          <w:noProof/>
          <w:szCs w:val="18"/>
          <w:lang w:eastAsia="ro-RO"/>
        </w:rPr>
        <w:drawing>
          <wp:anchor distT="0" distB="0" distL="114300" distR="114300" simplePos="0" relativeHeight="252024832" behindDoc="0" locked="0" layoutInCell="1" allowOverlap="1" wp14:anchorId="2EF64DED" wp14:editId="1194EB5A">
            <wp:simplePos x="0" y="0"/>
            <wp:positionH relativeFrom="column">
              <wp:posOffset>-2998</wp:posOffset>
            </wp:positionH>
            <wp:positionV relativeFrom="paragraph">
              <wp:posOffset>75181</wp:posOffset>
            </wp:positionV>
            <wp:extent cx="2020186" cy="1351320"/>
            <wp:effectExtent l="0" t="0" r="0" b="1270"/>
            <wp:wrapSquare wrapText="bothSides"/>
            <wp:docPr id="3" name="Picture 3" descr="Aid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dUkrai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0186" cy="1351320"/>
                    </a:xfrm>
                    <a:prstGeom prst="rect">
                      <a:avLst/>
                    </a:prstGeom>
                    <a:noFill/>
                    <a:ln>
                      <a:noFill/>
                    </a:ln>
                  </pic:spPr>
                </pic:pic>
              </a:graphicData>
            </a:graphic>
          </wp:anchor>
        </w:drawing>
      </w:r>
      <w:r w:rsidRPr="00A75688">
        <w:rPr>
          <w:color w:val="404040"/>
          <w:szCs w:val="18"/>
        </w:rPr>
        <w:t>În urma solicitării guvernului ucrainean de asistență în materie de protecție civilă, Comisia Europeană canalizează și alte materiale de îngrijire medicală, cum ar fi: truse de prim ajutor, îmbrăcăminte de protecție și dezinfectanți, dar și corturi, echipamente de stingere a incendiilor, generatoare de energie și pompe de apă, care au fost oferite Ucrainei.</w:t>
      </w:r>
    </w:p>
    <w:p w14:paraId="00EF04C5"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t>Acest sprijin acordat Ucrainei prin intermediul mecanismului de protecție civilă al UE include oferte din partea Sloveniei, României, Franței, Irlandei, Austriei, deja făcute săptămâna trecută, precum și asistență suplimentară din partea Croației, Germaniei, Italiei, Lituaniei, Spaniei, Danemarcei și Suediei, care include peste 2 milioane de articole esențiale.</w:t>
      </w:r>
    </w:p>
    <w:p w14:paraId="6C96AEE0"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lastRenderedPageBreak/>
        <w:t>În plus, comisarul </w:t>
      </w:r>
      <w:r w:rsidRPr="00A75688">
        <w:rPr>
          <w:rStyle w:val="Strong"/>
          <w:color w:val="404040"/>
        </w:rPr>
        <w:t>Lenarčič </w:t>
      </w:r>
      <w:r w:rsidRPr="00A75688">
        <w:rPr>
          <w:rFonts w:ascii="Verdana" w:hAnsi="Verdana"/>
          <w:color w:val="404040"/>
          <w:sz w:val="18"/>
          <w:szCs w:val="18"/>
        </w:rPr>
        <w:t>a purtat discuții cu miniștri din România, Polonia, Ungaria și Republica Moldova cu privire la modul în care UE poate sprijini statele respective în ceea ce privește protejarea ucrainenilor care fug din țara lor. Republica Moldova a activat mecanismul de protecție civilă al UE noaptea trecută, solicitând asistență pentru gestionarea fluxurilor de migrație.</w:t>
      </w:r>
    </w:p>
    <w:p w14:paraId="6BBFBD80"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t>Comisarul pentru gestionarea crizelor, Janez </w:t>
      </w:r>
      <w:r w:rsidRPr="00A75688">
        <w:rPr>
          <w:rStyle w:val="Strong"/>
          <w:color w:val="404040"/>
        </w:rPr>
        <w:t>Lenarčič</w:t>
      </w:r>
      <w:r w:rsidRPr="00A75688">
        <w:rPr>
          <w:rFonts w:ascii="Verdana" w:hAnsi="Verdana"/>
          <w:color w:val="404040"/>
          <w:sz w:val="18"/>
          <w:szCs w:val="18"/>
        </w:rPr>
        <w:t>, a declarat: „</w:t>
      </w:r>
      <w:r w:rsidRPr="00A75688">
        <w:rPr>
          <w:rStyle w:val="Emphasis"/>
          <w:color w:val="404040"/>
        </w:rPr>
        <w:t>Solidaritatea nu a contat niciodată mai mult și acum este momentul să dăm dovada că sprijinim Ucraina. Le mulțumesc tuturor țărilor care oferă deja ajutor imediat prin intermediul mecanismului nostru de protecție civilă. Vom face tot ce ne stă în putință pentru ca Ucraina să nu treacă singură prin această perioadă de grea încercare. De asemenea, conlucrăm neîncetat și îndeaproape cu țările învecinate, pentru a le sprijini în demersurile lor de asigurare a protecției ucrainenilor obligați să își părăsească țara.</w:t>
      </w:r>
      <w:r w:rsidRPr="00A75688">
        <w:rPr>
          <w:rFonts w:ascii="Verdana" w:hAnsi="Verdana"/>
          <w:color w:val="404040"/>
          <w:sz w:val="18"/>
          <w:szCs w:val="18"/>
        </w:rPr>
        <w:t>”</w:t>
      </w:r>
    </w:p>
    <w:p w14:paraId="35D5B756"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Fonts w:ascii="Verdana" w:hAnsi="Verdana"/>
          <w:color w:val="404040"/>
          <w:sz w:val="18"/>
          <w:szCs w:val="18"/>
        </w:rPr>
        <w:t>Centrul de coordonare a răspunsului la situații de urgență al UE se află în contact permanent cu autoritățile ucrainene și din țările învecinate pentru a direcționa asistența suplimentară.</w:t>
      </w:r>
    </w:p>
    <w:p w14:paraId="477DAD3B" w14:textId="42DD5901" w:rsidR="00A75688" w:rsidRPr="00A75688" w:rsidRDefault="00A75688" w:rsidP="00A75688">
      <w:pPr>
        <w:pStyle w:val="separatorarticole"/>
      </w:pPr>
      <w:r w:rsidRPr="00A75688">
        <w:t>*</w:t>
      </w:r>
    </w:p>
    <w:p w14:paraId="01D76D5D" w14:textId="77777777" w:rsidR="00A75688" w:rsidRPr="00A75688" w:rsidRDefault="00A75688" w:rsidP="00A75688">
      <w:pPr>
        <w:pStyle w:val="TitluArticolinINFOUE"/>
        <w:rPr>
          <w:lang w:eastAsia="ro-RO"/>
        </w:rPr>
      </w:pPr>
      <w:bookmarkStart w:id="158" w:name="_Toc96929081"/>
      <w:r w:rsidRPr="00A75688">
        <w:t>Cuvânt de deschidere al președintei: reuniunea extraordinară a EUCO</w:t>
      </w:r>
      <w:bookmarkEnd w:id="158"/>
    </w:p>
    <w:p w14:paraId="408B2748" w14:textId="77777777" w:rsidR="00A75688" w:rsidRPr="00A75688" w:rsidRDefault="00A75688" w:rsidP="00A75688">
      <w:pPr>
        <w:pStyle w:val="ecl-page-header-standardiseddescription"/>
        <w:shd w:val="clear" w:color="auto" w:fill="FFFFFF"/>
        <w:spacing w:before="120" w:beforeAutospacing="0" w:after="0" w:afterAutospacing="0"/>
        <w:rPr>
          <w:rFonts w:ascii="Verdana" w:hAnsi="Verdana" w:cs="Arial"/>
          <w:color w:val="404040"/>
          <w:sz w:val="18"/>
          <w:szCs w:val="18"/>
        </w:rPr>
      </w:pPr>
      <w:r w:rsidRPr="00A75688">
        <w:rPr>
          <w:rFonts w:ascii="Verdana" w:hAnsi="Verdana" w:cs="Arial"/>
          <w:color w:val="404040"/>
          <w:sz w:val="18"/>
          <w:szCs w:val="18"/>
        </w:rPr>
        <w:t>Cuvânt de deschidere al președintei Ursula von der Leyen la conferința de presă comună cu președintele Charles Michel și cu președintele Emmanuel Macron desfășurată în urma reuniunii extraordinare a Consiliului European din 24 februarie 2022.</w:t>
      </w:r>
    </w:p>
    <w:p w14:paraId="769D9A18" w14:textId="2BF18730" w:rsidR="00A75688" w:rsidRPr="00A75688" w:rsidRDefault="00A75688" w:rsidP="00A75688">
      <w:pPr>
        <w:rPr>
          <w:color w:val="404040"/>
          <w:szCs w:val="18"/>
        </w:rPr>
      </w:pPr>
      <w:r w:rsidRPr="00A75688">
        <w:rPr>
          <w:noProof/>
          <w:szCs w:val="18"/>
          <w:lang w:eastAsia="ro-RO"/>
        </w:rPr>
        <w:drawing>
          <wp:anchor distT="0" distB="0" distL="114300" distR="114300" simplePos="0" relativeHeight="252025856" behindDoc="0" locked="0" layoutInCell="1" allowOverlap="1" wp14:anchorId="17A529EB" wp14:editId="5D29E98C">
            <wp:simplePos x="0" y="0"/>
            <wp:positionH relativeFrom="column">
              <wp:posOffset>-2998</wp:posOffset>
            </wp:positionH>
            <wp:positionV relativeFrom="paragraph">
              <wp:posOffset>73778</wp:posOffset>
            </wp:positionV>
            <wp:extent cx="2041451" cy="1361013"/>
            <wp:effectExtent l="0" t="0" r="0" b="0"/>
            <wp:wrapSquare wrapText="bothSides"/>
            <wp:docPr id="1" name="Picture 1" descr="E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1451" cy="1361013"/>
                    </a:xfrm>
                    <a:prstGeom prst="rect">
                      <a:avLst/>
                    </a:prstGeom>
                    <a:noFill/>
                    <a:ln>
                      <a:noFill/>
                    </a:ln>
                  </pic:spPr>
                </pic:pic>
              </a:graphicData>
            </a:graphic>
          </wp:anchor>
        </w:drawing>
      </w:r>
      <w:r w:rsidRPr="00A75688">
        <w:rPr>
          <w:rStyle w:val="Emphasis"/>
          <w:color w:val="404040"/>
        </w:rPr>
        <w:t>Evenimentele de astăzi reprezintă un moment de mare cumpănă pentru Europa. Femei, bărbați și copii nevinovați sunt sub bombardamente. Ei se tem pentru viața lor și mulți și-o pierd. Toate acestea se petrec în 2022, chiar în inima Europei. Președintele Putin a ales să readucă războiul în Europa printr-o invazie în toată puterea cuvântului a Ucrainei, punând în mod fundamental sub semnul întrebării ordinea noastră bazată pe pace.</w:t>
      </w:r>
    </w:p>
    <w:p w14:paraId="172D806F"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t>Dar astăzi vreau să vă spun un lucru: Uniunea Europeană este unită. În această seară, liderii europeni au condamnat în mod unanim atacurile atroce și neprovocate. Este momentul să reacționăm pe măsura situației. Prin intermediul pachetului de sancțiuni masive și direcționate pe care liderii europeni l-au aprobat în această seară, vom trage Kremlinul la răspundere. Sancțiunile vor avea un impact mai puternic ca niciodată asupra economiei și a elitei politice din Rusia și se bazează pe cinci piloni: primul este sectorul financiar, al doilea, sectorul energetic, al treilea este sectorul transporturilor, al patrulea, controlul și interzicerea finanțării exporturilor și, în fine, al cincilea este politica în domeniul vizelor. Permiteți-mi să subliniez câteva dintre elementele cele mai importante.</w:t>
      </w:r>
    </w:p>
    <w:p w14:paraId="47A4E396"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t>În primul rând, acest pachet include sancțiuni financiare care blochează accesul Rusiei la cele mai importante piețe de capital. Vizăm în prezent 70 % din piața bancară rusă, dar și principalele întreprinderi deținute de stat, inclusiv în domeniul apărării. Aceste sancțiuni vor majora costurile îndatorării pentru Rusia, vor duce la creșterea inflației și vor eroda treptat baza sa industrială. Vizăm, de asemenea, elitele ruse prin limitarea depozitelor acestora, astfel încât să nu-și mai poată ascunde banii în zone sigure din Europa.</w:t>
      </w:r>
    </w:p>
    <w:p w14:paraId="1BBBD35A"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t>Al doilea pilon principal vizează sectorul energetic, un domeniu economic esențial care aduce beneficii în special statului rus. Interdicția noastră la export va afecta sectorul petrolier, împiedicând Rusia să își modernizeze rafinăriile petroliere, care i-au adus venituri din exporturi în valoare de 24 de miliarde EUR în 2019.</w:t>
      </w:r>
    </w:p>
    <w:p w14:paraId="0FA7DFB7"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t>În al treilea rând, interzicem integral vânzarea de aeronave, piese de schimb și echipamente către companiile aeriene ruse. Acest lucru va slăbi acest sector esențial al economiei Rusiei și conectivitatea țării. Trei sferturi din aeronavele care alcătuiesc flota aeriană comercială actuală a Rusiei au fost construite în Uniunea Europeană, SUA și Canada și prin urmare, Rusia depinde în mare măsură de ele.</w:t>
      </w:r>
    </w:p>
    <w:p w14:paraId="363E35EA"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t>În al patrulea rând, limităm accesul Rusiei la tehnologii esențiale. Vom împiedica accesul Rusiei la tehnologii importante de care are nevoie pentru a construi un viitor prosper, cum ar fi semiconductorii sau tehnologiile de vârf.</w:t>
      </w:r>
    </w:p>
    <w:p w14:paraId="0BA721F6"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lastRenderedPageBreak/>
        <w:t>În fine, acționăm în domeniul vizelor. Diplomații și grupurile asociate, precum și oamenii de afaceri nu vor mai avea acces privilegiat în Uniunea Europeană.</w:t>
      </w:r>
    </w:p>
    <w:p w14:paraId="25CE8694"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t>Ca întotdeauna, aceste măsuri sunt strâns coordonate cu partenerii și aliații noștri. Mă refer, desigur, la Statele Unite, Regatul Unit, Canada și Norvegia, la care se adaugă acum și Coreea de Sud, Japonia sau, de exemplu, Australia. Punctul nostru forte este unitatea, iar Kremlinul știe acest lucru. A încercat din răsputeri să ne dezbine, însă a eșuat în toate privințele, obținând exact contrariul. Suntem mai uniți și mai hotărâți ca niciodată.</w:t>
      </w:r>
    </w:p>
    <w:p w14:paraId="7F0D95AF"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t>În încheiere, permiteți-mi să subliniez că aceste evenimente marchează, într-adevăr, începutul unei noi ere. Trebuie să vedem foarte clar lucrurile: Putin încearcă să subjuge o țară europeană prietenă și încearcă să retraseze harta Europei prin forță. El nu trebuie să reușească și nu va reuși să facă acest lucru.</w:t>
      </w:r>
    </w:p>
    <w:p w14:paraId="47344413" w14:textId="77777777" w:rsidR="00A75688" w:rsidRPr="00A75688" w:rsidRDefault="00A75688" w:rsidP="00A75688">
      <w:pPr>
        <w:pStyle w:val="NormalWeb"/>
        <w:spacing w:before="120" w:beforeAutospacing="0" w:after="0" w:afterAutospacing="0"/>
        <w:rPr>
          <w:rFonts w:ascii="Verdana" w:hAnsi="Verdana"/>
          <w:color w:val="404040"/>
          <w:sz w:val="18"/>
          <w:szCs w:val="18"/>
        </w:rPr>
      </w:pPr>
      <w:r w:rsidRPr="00A75688">
        <w:rPr>
          <w:rStyle w:val="Emphasis"/>
          <w:color w:val="404040"/>
        </w:rPr>
        <w:t>Vă mulțumesc.</w:t>
      </w:r>
    </w:p>
    <w:p w14:paraId="5DD73BAF" w14:textId="27CB90C5" w:rsidR="00A75688" w:rsidRPr="00A75688" w:rsidRDefault="00A75688" w:rsidP="00A75688">
      <w:pPr>
        <w:pStyle w:val="separatorarticole"/>
      </w:pPr>
      <w:r w:rsidRPr="00A75688">
        <w:t>*</w:t>
      </w:r>
    </w:p>
    <w:p w14:paraId="06E616E3" w14:textId="19CFE103" w:rsidR="000F0179" w:rsidRPr="00AE5EA7" w:rsidRDefault="000F0179" w:rsidP="00AE5EA7">
      <w:pPr>
        <w:pStyle w:val="TitluArticolinINFOUE"/>
        <w:rPr>
          <w:lang w:eastAsia="ro-RO"/>
        </w:rPr>
      </w:pPr>
      <w:bookmarkStart w:id="159" w:name="_Toc96929082"/>
      <w:r w:rsidRPr="00AE5EA7">
        <w:t>15 milioane EUR în cadrul programului Erasmus+ pentru a sprijini formarea prin academiile Erasmus+ pentru cadrele didactice</w:t>
      </w:r>
      <w:bookmarkEnd w:id="159"/>
    </w:p>
    <w:p w14:paraId="4408AF32" w14:textId="77777777" w:rsidR="000F0179" w:rsidRPr="00AE5EA7" w:rsidRDefault="000F0179" w:rsidP="00AE5EA7">
      <w:pPr>
        <w:pStyle w:val="ecl-page-header-standardiseddescription"/>
        <w:spacing w:before="120" w:beforeAutospacing="0" w:after="0" w:afterAutospacing="0"/>
        <w:rPr>
          <w:rFonts w:ascii="Verdana" w:hAnsi="Verdana" w:cs="Arial"/>
          <w:color w:val="404040"/>
          <w:sz w:val="18"/>
          <w:szCs w:val="18"/>
        </w:rPr>
      </w:pPr>
      <w:r w:rsidRPr="00AE5EA7">
        <w:rPr>
          <w:rFonts w:ascii="Verdana" w:hAnsi="Verdana" w:cs="Arial"/>
          <w:color w:val="404040"/>
          <w:sz w:val="18"/>
          <w:szCs w:val="18"/>
        </w:rPr>
        <w:t>Comisarul Maryia Gabriel a lansat, în această dimineață, primele proiecte selectate în cadrul noilor </w:t>
      </w:r>
      <w:hyperlink r:id="rId48" w:history="1">
        <w:r w:rsidRPr="00AE5EA7">
          <w:rPr>
            <w:rStyle w:val="Hyperlink"/>
            <w:rFonts w:cs="Arial"/>
            <w:color w:val="004494"/>
          </w:rPr>
          <w:t>academii Erasmus+ pentru cadrele didactice („Erasmus+ Teacher Academies”)</w:t>
        </w:r>
      </w:hyperlink>
      <w:r w:rsidRPr="00AE5EA7">
        <w:rPr>
          <w:rFonts w:ascii="Verdana" w:hAnsi="Verdana" w:cs="Arial"/>
          <w:color w:val="404040"/>
          <w:sz w:val="18"/>
          <w:szCs w:val="18"/>
        </w:rPr>
        <w:t>.</w:t>
      </w:r>
    </w:p>
    <w:p w14:paraId="5E0C19EF" w14:textId="0157D388" w:rsidR="000F0179" w:rsidRPr="00AE5EA7" w:rsidRDefault="000F0179" w:rsidP="00AE5EA7">
      <w:pPr>
        <w:rPr>
          <w:color w:val="404040"/>
          <w:szCs w:val="18"/>
        </w:rPr>
      </w:pPr>
      <w:r w:rsidRPr="00AE5EA7">
        <w:rPr>
          <w:noProof/>
          <w:szCs w:val="18"/>
          <w:lang w:eastAsia="ro-RO"/>
        </w:rPr>
        <w:drawing>
          <wp:anchor distT="0" distB="0" distL="114300" distR="114300" simplePos="0" relativeHeight="252015616" behindDoc="0" locked="0" layoutInCell="1" allowOverlap="1" wp14:anchorId="6062B1EF" wp14:editId="215AC5ED">
            <wp:simplePos x="0" y="0"/>
            <wp:positionH relativeFrom="column">
              <wp:posOffset>-1593</wp:posOffset>
            </wp:positionH>
            <wp:positionV relativeFrom="paragraph">
              <wp:posOffset>72222</wp:posOffset>
            </wp:positionV>
            <wp:extent cx="1949569" cy="1304303"/>
            <wp:effectExtent l="0" t="0" r="0" b="0"/>
            <wp:wrapSquare wrapText="bothSides"/>
            <wp:docPr id="32" name="Picture 32" descr="Academiile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cademiileErasmus"/>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49569" cy="1304303"/>
                    </a:xfrm>
                    <a:prstGeom prst="rect">
                      <a:avLst/>
                    </a:prstGeom>
                    <a:noFill/>
                    <a:ln>
                      <a:noFill/>
                    </a:ln>
                  </pic:spPr>
                </pic:pic>
              </a:graphicData>
            </a:graphic>
          </wp:anchor>
        </w:drawing>
      </w:r>
      <w:r w:rsidRPr="00AE5EA7">
        <w:rPr>
          <w:color w:val="404040"/>
          <w:szCs w:val="18"/>
        </w:rPr>
        <w:t>Beneficiind de 15 milioane EUR din bugetul Erasmus+ pe o perioadă de trei ani, cele 11 proiecte le vor oferi cadrelor didactice oportunități de învățare care includ mobilitatea, platforme de învățare și comunități profesionale, în toate etapele carierei lor.</w:t>
      </w:r>
    </w:p>
    <w:p w14:paraId="114BDF10" w14:textId="7AB64CF8"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 deschiderea evenimentului, comisarul </w:t>
      </w:r>
      <w:r w:rsidRPr="00AE5EA7">
        <w:rPr>
          <w:rStyle w:val="Strong"/>
          <w:color w:val="404040"/>
        </w:rPr>
        <w:t>Gabriel</w:t>
      </w:r>
      <w:r w:rsidRPr="00AE5EA7">
        <w:rPr>
          <w:rFonts w:ascii="Verdana" w:hAnsi="Verdana"/>
          <w:color w:val="404040"/>
          <w:sz w:val="18"/>
          <w:szCs w:val="18"/>
        </w:rPr>
        <w:t> a declarat: „</w:t>
      </w:r>
      <w:r w:rsidRPr="00AE5EA7">
        <w:rPr>
          <w:rStyle w:val="Emphasis"/>
          <w:color w:val="404040"/>
        </w:rPr>
        <w:t>Meseria de profesor este una dintre cele care schimbă lumea. Pe măsură ce societatea noastră se schimbă, și profesia de cadru didactic se schimbă. Nu putem preda competențe noi fără a adapta modul în care predăm. Dorim ca academiile Erasmus+ pentru cadrele didactice să devină comunități de practică și furnizori de învățare pe tot parcursul vieții, concepute pentru și de către profesori.Academiilepentru cadrele didactice ar trebui, de asemenea, să-i ajute pe cei care își aleg această profesie să se simtă mai sprijiniți și mai apreciați, carierele lor aducându-le astfel mai multe satisfacții. Aceasta este o altă provocare majoră pentru noi, cu atât mai mult cu cât numeroase state membre au început să se confrunte cu o penurie de cadre didactice.”</w:t>
      </w:r>
    </w:p>
    <w:p w14:paraId="26B9183E" w14:textId="2458E835"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AcademiileErasmus+ pentru cadrele didactice sunt parteneriate europene între furnizori de servicii de formare a cadrelor didactice, care vor adăuga o perspectivă europeană și internațională învățământului pedagogic. Aceste academii vor promova multilingvismul, sensibilizarea lingvistică și diversitatea culturală, vor dezvolta formarea cadrelor didactice în conformitate cu prioritățile politicii UE în domeniul educației și vor contribui la îndeplinirea obiectivelor Spațiului european al educației.</w:t>
      </w:r>
    </w:p>
    <w:p w14:paraId="25E3DB8A" w14:textId="19D4E9AF"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Primele proiecte selectate includ 182 de organizații din 23 de țări. Dintre cele 182 de organizații participante, 43 sunt furnizori de formare inițială a cadrelor didactice, 24 sunt furnizori de dezvoltare profesională continuă, 47 sunt școli de formare practică și 68 reprezintă alte organizații cu expertiză relevantă în formarea cadrelor didactice și/sau organisme care definesc standarde, calificări ori asigurarea calității pentru formarea cadrelor didactice sau cercetare.</w:t>
      </w:r>
    </w:p>
    <w:p w14:paraId="316A0EE1"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 perioada 15 martie – 7 septembrie 2022 se lansează o </w:t>
      </w:r>
      <w:hyperlink r:id="rId50" w:history="1">
        <w:r w:rsidRPr="00AE5EA7">
          <w:rPr>
            <w:rStyle w:val="Hyperlink"/>
            <w:rFonts w:cs="Arial"/>
            <w:color w:val="004494"/>
          </w:rPr>
          <w:t>nouă cerere de propuneri</w:t>
        </w:r>
      </w:hyperlink>
      <w:r w:rsidRPr="00AE5EA7">
        <w:rPr>
          <w:rFonts w:ascii="Verdana" w:hAnsi="Verdana"/>
          <w:color w:val="404040"/>
          <w:sz w:val="18"/>
          <w:szCs w:val="18"/>
        </w:rPr>
        <w:t> pentru noi proiecte în cadrul Academiilor Erasmus+ pentru cadrele didactice.</w:t>
      </w:r>
    </w:p>
    <w:p w14:paraId="1A537879" w14:textId="579DF323" w:rsidR="000F0179" w:rsidRPr="00AE5EA7" w:rsidRDefault="000F0179" w:rsidP="00AE5EA7">
      <w:pPr>
        <w:pStyle w:val="separatorarticole"/>
      </w:pPr>
      <w:r w:rsidRPr="00AE5EA7">
        <w:t>*</w:t>
      </w:r>
    </w:p>
    <w:p w14:paraId="4480D75C" w14:textId="33A781E1" w:rsidR="000F0179" w:rsidRPr="00AE5EA7" w:rsidRDefault="000F0179" w:rsidP="00AE5EA7">
      <w:pPr>
        <w:pStyle w:val="TitluArticolinINFOUE"/>
        <w:rPr>
          <w:lang w:eastAsia="ro-RO"/>
        </w:rPr>
      </w:pPr>
      <w:bookmarkStart w:id="160" w:name="_Toc96929083"/>
      <w:r w:rsidRPr="00AE5EA7">
        <w:lastRenderedPageBreak/>
        <w:t>Viitorul Europei: recomandările cetățenilor privind economia mai puternică, justiție socială &amp; locuri de muncă, educație, cultură, tineret, sport &amp; transformare digitală</w:t>
      </w:r>
      <w:bookmarkEnd w:id="160"/>
    </w:p>
    <w:p w14:paraId="1DD2BCEA" w14:textId="72FE7882" w:rsidR="000F0179" w:rsidRPr="00AE5EA7" w:rsidRDefault="00AE5EA7" w:rsidP="00AE5EA7">
      <w:pPr>
        <w:pStyle w:val="ecl-page-header-standardiseddescription"/>
        <w:spacing w:before="120" w:beforeAutospacing="0" w:after="0" w:afterAutospacing="0"/>
        <w:rPr>
          <w:rFonts w:ascii="Verdana" w:hAnsi="Verdana" w:cs="Arial"/>
          <w:color w:val="404040"/>
          <w:sz w:val="18"/>
          <w:szCs w:val="18"/>
        </w:rPr>
      </w:pPr>
      <w:r w:rsidRPr="00AE5EA7">
        <w:rPr>
          <w:rFonts w:ascii="Verdana" w:hAnsi="Verdana"/>
          <w:noProof/>
          <w:sz w:val="18"/>
          <w:szCs w:val="18"/>
        </w:rPr>
        <w:drawing>
          <wp:anchor distT="0" distB="0" distL="114300" distR="114300" simplePos="0" relativeHeight="252016640" behindDoc="0" locked="0" layoutInCell="1" allowOverlap="1" wp14:anchorId="5405B577" wp14:editId="6EB97BCC">
            <wp:simplePos x="0" y="0"/>
            <wp:positionH relativeFrom="column">
              <wp:posOffset>-1293</wp:posOffset>
            </wp:positionH>
            <wp:positionV relativeFrom="paragraph">
              <wp:posOffset>1690</wp:posOffset>
            </wp:positionV>
            <wp:extent cx="1805173" cy="1207699"/>
            <wp:effectExtent l="0" t="0" r="5080" b="0"/>
            <wp:wrapSquare wrapText="bothSides"/>
            <wp:docPr id="33" name="Picture 33"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fE"/>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05173" cy="1207699"/>
                    </a:xfrm>
                    <a:prstGeom prst="rect">
                      <a:avLst/>
                    </a:prstGeom>
                    <a:noFill/>
                    <a:ln>
                      <a:noFill/>
                    </a:ln>
                  </pic:spPr>
                </pic:pic>
              </a:graphicData>
            </a:graphic>
          </wp:anchor>
        </w:drawing>
      </w:r>
      <w:r w:rsidR="000F0179" w:rsidRPr="00AE5EA7">
        <w:rPr>
          <w:rFonts w:ascii="Verdana" w:hAnsi="Verdana" w:cs="Arial"/>
          <w:color w:val="404040"/>
          <w:sz w:val="18"/>
          <w:szCs w:val="18"/>
        </w:rPr>
        <w:t>Viitorul Europei: recomandările cetățenilor privind o economie mai puternică, justiție socială și locuri de muncă, educație, cultură, tineret, sport și transformarea digitală.</w:t>
      </w:r>
    </w:p>
    <w:p w14:paraId="58CCF472"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 perioada 25-27 februarie, aproximativ 200 de cetățeni din toate statele membre, cu vârste și din medii diferite, își vor finaliza recomandările pentru viitorul Europei în cadrul grupului de dezbatere al cetățenilor europeni pe tema </w:t>
      </w:r>
      <w:hyperlink r:id="rId52" w:history="1">
        <w:r w:rsidRPr="00AE5EA7">
          <w:rPr>
            <w:rStyle w:val="Hyperlink"/>
            <w:rFonts w:cs="Arial"/>
            <w:color w:val="004494"/>
          </w:rPr>
          <w:t>„O economie mai puternică, justiție socială și locuri de muncă / Educație, cultură, tineret, sport / Transformarea digitală”</w:t>
        </w:r>
      </w:hyperlink>
      <w:r w:rsidRPr="00AE5EA7">
        <w:rPr>
          <w:rFonts w:ascii="Verdana" w:hAnsi="Verdana"/>
          <w:color w:val="404040"/>
          <w:sz w:val="18"/>
          <w:szCs w:val="18"/>
        </w:rPr>
        <w:t>.</w:t>
      </w:r>
    </w:p>
    <w:p w14:paraId="49CAA742"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Cele cinci direcții de lucru ale grupului de dezbatere sunt: „Munca în Europa”, „O transformare digitală etică și sigură”, „O societate justă”, „Învățarea în Europa” și „O economie pentru viitor”. Recomandările adoptate vor fi prezentate de cetățeni din cadrul grupului și discutate în cadrul reuniunii plenare a conferinței din 11-12 martie 2022 de la Strasbourg (Franța).</w:t>
      </w:r>
    </w:p>
    <w:p w14:paraId="7E7F73C0"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Această a treia sesiune a grupului va fi găzduită </w:t>
      </w:r>
      <w:hyperlink r:id="rId53" w:history="1">
        <w:r w:rsidRPr="00AE5EA7">
          <w:rPr>
            <w:rStyle w:val="Hyperlink"/>
            <w:rFonts w:cs="Arial"/>
            <w:color w:val="004494"/>
          </w:rPr>
          <w:t>de Institutul pentru Afaceri Internaționale și Europene</w:t>
        </w:r>
      </w:hyperlink>
      <w:r w:rsidRPr="00AE5EA7">
        <w:rPr>
          <w:rFonts w:ascii="Verdana" w:hAnsi="Verdana"/>
          <w:color w:val="404040"/>
          <w:sz w:val="18"/>
          <w:szCs w:val="18"/>
        </w:rPr>
        <w:t> din Dublin, Irlanda, cu respectarea deplină a măsurilor sanitare aplicabile, participanții care nu vor putea călători conectându-se de la distanță.</w:t>
      </w:r>
    </w:p>
    <w:p w14:paraId="7A8898B6"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Sesiunile de deschidere și de închidere se vor transmite în direct pe </w:t>
      </w:r>
      <w:hyperlink r:id="rId54" w:history="1">
        <w:r w:rsidRPr="00AE5EA7">
          <w:rPr>
            <w:rStyle w:val="Hyperlink"/>
            <w:rFonts w:cs="Arial"/>
            <w:color w:val="004494"/>
          </w:rPr>
          <w:t>platforma digitală multilingvă</w:t>
        </w:r>
      </w:hyperlink>
      <w:r w:rsidRPr="00AE5EA7">
        <w:rPr>
          <w:rFonts w:ascii="Verdana" w:hAnsi="Verdana"/>
          <w:color w:val="404040"/>
          <w:sz w:val="18"/>
          <w:szCs w:val="18"/>
        </w:rPr>
        <w:t> a conferinței. Cetățenii care fac parte din acest grup s-au reunit anterior la Strasbourg în perioada </w:t>
      </w:r>
      <w:hyperlink r:id="rId55" w:history="1">
        <w:r w:rsidRPr="00AE5EA7">
          <w:rPr>
            <w:rStyle w:val="Hyperlink"/>
            <w:rFonts w:cs="Arial"/>
            <w:color w:val="004494"/>
          </w:rPr>
          <w:t>17-19 septembrie</w:t>
        </w:r>
      </w:hyperlink>
      <w:r w:rsidRPr="00AE5EA7">
        <w:rPr>
          <w:rFonts w:ascii="Verdana" w:hAnsi="Verdana"/>
          <w:color w:val="404040"/>
          <w:sz w:val="18"/>
          <w:szCs w:val="18"/>
        </w:rPr>
        <w:t> și online în perioada </w:t>
      </w:r>
      <w:hyperlink r:id="rId56" w:history="1">
        <w:r w:rsidRPr="00AE5EA7">
          <w:rPr>
            <w:rStyle w:val="Hyperlink"/>
            <w:rFonts w:cs="Arial"/>
            <w:color w:val="004494"/>
          </w:rPr>
          <w:t>5-7 noiembrie</w:t>
        </w:r>
      </w:hyperlink>
      <w:r w:rsidRPr="00AE5EA7">
        <w:rPr>
          <w:rFonts w:ascii="Verdana" w:hAnsi="Verdana"/>
          <w:color w:val="404040"/>
          <w:sz w:val="18"/>
          <w:szCs w:val="18"/>
        </w:rPr>
        <w:t>. Conferința privind viitorul Europei a reunit patru astfel de </w:t>
      </w:r>
      <w:hyperlink r:id="rId57" w:history="1">
        <w:r w:rsidRPr="00AE5EA7">
          <w:rPr>
            <w:rStyle w:val="Hyperlink"/>
            <w:rFonts w:cs="Arial"/>
            <w:color w:val="004494"/>
          </w:rPr>
          <w:t>grupuri de dezbatere ale cetățenilor europeni</w:t>
        </w:r>
      </w:hyperlink>
      <w:r w:rsidRPr="00AE5EA7">
        <w:rPr>
          <w:rFonts w:ascii="Verdana" w:hAnsi="Verdana"/>
          <w:color w:val="404040"/>
          <w:sz w:val="18"/>
          <w:szCs w:val="18"/>
        </w:rPr>
        <w:t>.</w:t>
      </w:r>
    </w:p>
    <w:p w14:paraId="65578A02"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80 de reprezentanți din cadrul grupurilor – dintre care cel puțin o treime au vârste cuprinse între 16 și 25 de ani – participă la sesiunile plenare, unde prezintă rezultatele discuțiilor din cadrul grupului pe care îl reprezintă. Grupul de dezbatere al cetățenilor europeni privind </w:t>
      </w:r>
      <w:hyperlink r:id="rId58" w:history="1">
        <w:r w:rsidRPr="00AE5EA7">
          <w:rPr>
            <w:rStyle w:val="Hyperlink"/>
            <w:rFonts w:cs="Arial"/>
            <w:color w:val="004494"/>
          </w:rPr>
          <w:t>„Democrația europeană/Valori și drepturi, statul de drept, securitate”</w:t>
        </w:r>
      </w:hyperlink>
      <w:r w:rsidRPr="00AE5EA7">
        <w:rPr>
          <w:rFonts w:ascii="Verdana" w:hAnsi="Verdana"/>
          <w:color w:val="404040"/>
          <w:sz w:val="18"/>
          <w:szCs w:val="18"/>
        </w:rPr>
        <w:t> și-a adoptat recomandările la Florența în decembrie 2021, în timp ce grupul pentru </w:t>
      </w:r>
      <w:hyperlink r:id="rId59" w:history="1">
        <w:r w:rsidRPr="00AE5EA7">
          <w:rPr>
            <w:rStyle w:val="Hyperlink"/>
            <w:rFonts w:cs="Arial"/>
            <w:color w:val="004494"/>
          </w:rPr>
          <w:t>„Schimbări climatice și mediu/Sănătate”</w:t>
        </w:r>
      </w:hyperlink>
      <w:r w:rsidRPr="00AE5EA7">
        <w:rPr>
          <w:rFonts w:ascii="Verdana" w:hAnsi="Verdana"/>
          <w:color w:val="404040"/>
          <w:sz w:val="18"/>
          <w:szCs w:val="18"/>
        </w:rPr>
        <w:t> și-a încheiat activitatea la Varșovia în ianuarie 2022.</w:t>
      </w:r>
    </w:p>
    <w:p w14:paraId="6A564D5C"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Recomandările acestor două grupuri au fost prezentate și dezbătute în cadrul </w:t>
      </w:r>
      <w:hyperlink r:id="rId60" w:history="1">
        <w:r w:rsidRPr="00AE5EA7">
          <w:rPr>
            <w:rStyle w:val="Hyperlink"/>
            <w:rFonts w:cs="Arial"/>
            <w:color w:val="004494"/>
          </w:rPr>
          <w:t>sesiunii plenare a conferinței din 21-22 ianuarie 2022</w:t>
        </w:r>
      </w:hyperlink>
      <w:r w:rsidRPr="00AE5EA7">
        <w:rPr>
          <w:rFonts w:ascii="Verdana" w:hAnsi="Verdana"/>
          <w:color w:val="404040"/>
          <w:sz w:val="18"/>
          <w:szCs w:val="18"/>
        </w:rPr>
        <w:t>. Grupul privind </w:t>
      </w:r>
      <w:hyperlink r:id="rId61" w:history="1">
        <w:r w:rsidRPr="00AE5EA7">
          <w:rPr>
            <w:rStyle w:val="Hyperlink"/>
            <w:rFonts w:cs="Arial"/>
            <w:color w:val="004494"/>
          </w:rPr>
          <w:t>„UE în lume/Migrație”</w:t>
        </w:r>
      </w:hyperlink>
      <w:r w:rsidRPr="00AE5EA7">
        <w:rPr>
          <w:rFonts w:ascii="Verdana" w:hAnsi="Verdana"/>
          <w:color w:val="404040"/>
          <w:sz w:val="18"/>
          <w:szCs w:val="18"/>
        </w:rPr>
        <w:t> s-a reunit la Maastricht, în Țările de Jos, în prima jumătate a lunii februarie și va contribui, de asemenea, la prima sesiune plenară din luna martie.</w:t>
      </w:r>
    </w:p>
    <w:p w14:paraId="5A3E5B11" w14:textId="78D41B60" w:rsidR="000F0179" w:rsidRPr="00AE5EA7" w:rsidRDefault="000F0179" w:rsidP="00AE5EA7">
      <w:pPr>
        <w:pStyle w:val="separatorarticole"/>
      </w:pPr>
      <w:r w:rsidRPr="00AE5EA7">
        <w:t>*</w:t>
      </w:r>
    </w:p>
    <w:p w14:paraId="54465003" w14:textId="32FBE868" w:rsidR="000F0179" w:rsidRPr="00AE5EA7" w:rsidRDefault="000F0179" w:rsidP="00AE5EA7">
      <w:pPr>
        <w:pStyle w:val="TitluArticolinINFOUE"/>
        <w:rPr>
          <w:lang w:eastAsia="ro-RO"/>
        </w:rPr>
      </w:pPr>
      <w:bookmarkStart w:id="161" w:name="_Toc96929084"/>
      <w:r w:rsidRPr="00AE5EA7">
        <w:t>Legea privind datele: Comisia propune măsuri pentru o economie a datelor echitabilă și inovatoare</w:t>
      </w:r>
      <w:bookmarkEnd w:id="161"/>
    </w:p>
    <w:p w14:paraId="28787249" w14:textId="77777777" w:rsidR="000F0179" w:rsidRPr="00AE5EA7" w:rsidRDefault="000F0179" w:rsidP="00AE5EA7">
      <w:pPr>
        <w:pStyle w:val="ecl-page-header-standardiseddescription"/>
        <w:spacing w:before="120" w:beforeAutospacing="0" w:after="0" w:afterAutospacing="0"/>
        <w:rPr>
          <w:rFonts w:ascii="Verdana" w:hAnsi="Verdana" w:cs="Arial"/>
          <w:color w:val="404040"/>
          <w:sz w:val="18"/>
          <w:szCs w:val="18"/>
        </w:rPr>
      </w:pPr>
      <w:r w:rsidRPr="00AE5EA7">
        <w:rPr>
          <w:rFonts w:ascii="Verdana" w:hAnsi="Verdana" w:cs="Arial"/>
          <w:color w:val="404040"/>
          <w:sz w:val="18"/>
          <w:szCs w:val="18"/>
        </w:rPr>
        <w:t>Astăzi, 23 februarie, Comisia propune noi norme pentru a preciza cine poate utiliza și accesa datele generate în UE în toate sectoarele economice. </w:t>
      </w:r>
    </w:p>
    <w:p w14:paraId="38E71C95" w14:textId="748CB256" w:rsidR="000F0179" w:rsidRPr="00AE5EA7" w:rsidRDefault="000F0179" w:rsidP="00AE5EA7">
      <w:pPr>
        <w:rPr>
          <w:color w:val="404040"/>
          <w:szCs w:val="18"/>
        </w:rPr>
      </w:pPr>
      <w:r w:rsidRPr="00AE5EA7">
        <w:rPr>
          <w:noProof/>
          <w:szCs w:val="18"/>
          <w:lang w:eastAsia="ro-RO"/>
        </w:rPr>
        <w:drawing>
          <wp:anchor distT="0" distB="0" distL="114300" distR="114300" simplePos="0" relativeHeight="252017664" behindDoc="0" locked="0" layoutInCell="1" allowOverlap="1" wp14:anchorId="290537F8" wp14:editId="5FB270DE">
            <wp:simplePos x="0" y="0"/>
            <wp:positionH relativeFrom="column">
              <wp:posOffset>-1593</wp:posOffset>
            </wp:positionH>
            <wp:positionV relativeFrom="paragraph">
              <wp:posOffset>73169</wp:posOffset>
            </wp:positionV>
            <wp:extent cx="2044460" cy="1367786"/>
            <wp:effectExtent l="0" t="0" r="0" b="4445"/>
            <wp:wrapSquare wrapText="bothSides"/>
            <wp:docPr id="38" name="Picture 38" descr="LegeaPrivindD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geaPrivindDatele"/>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044460" cy="1367786"/>
                    </a:xfrm>
                    <a:prstGeom prst="rect">
                      <a:avLst/>
                    </a:prstGeom>
                    <a:noFill/>
                    <a:ln>
                      <a:noFill/>
                    </a:ln>
                  </pic:spPr>
                </pic:pic>
              </a:graphicData>
            </a:graphic>
          </wp:anchor>
        </w:drawing>
      </w:r>
      <w:r w:rsidRPr="00AE5EA7">
        <w:rPr>
          <w:color w:val="404040"/>
          <w:szCs w:val="18"/>
        </w:rPr>
        <w:t>Legea privind datele va asigura echitatea în mediul digital, va stimula dezvoltarea unei piețe competitive a datelor, va oferi oportunități pentru o inovare bazată pe date, precum și o mai mare accesibilitate a datelor pentru toți. Aceasta va antrena servicii noi, inovatoare, precum și prețuri mai competitive pentru serviciile post-vânzare și pentru repararea obiectelor conectate. Această ultimă componentă orizontală a </w:t>
      </w:r>
      <w:hyperlink r:id="rId63" w:history="1">
        <w:r w:rsidRPr="00AE5EA7">
          <w:rPr>
            <w:rStyle w:val="Hyperlink"/>
            <w:rFonts w:cs="Arial"/>
            <w:color w:val="004494"/>
          </w:rPr>
          <w:t>Strategiei </w:t>
        </w:r>
      </w:hyperlink>
      <w:hyperlink r:id="rId64" w:history="1">
        <w:r w:rsidRPr="00AE5EA7">
          <w:rPr>
            <w:rStyle w:val="wtoffscreen"/>
            <w:color w:val="999999"/>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color w:val="404040"/>
          <w:szCs w:val="18"/>
        </w:rPr>
        <w:t>Comisiei</w:t>
      </w:r>
      <w:hyperlink r:id="rId65" w:history="1">
        <w:r w:rsidRPr="00AE5EA7">
          <w:rPr>
            <w:rStyle w:val="Hyperlink"/>
            <w:rFonts w:cs="Arial"/>
            <w:color w:val="004494"/>
          </w:rPr>
          <w:t> privind datele</w:t>
        </w:r>
      </w:hyperlink>
      <w:hyperlink r:id="rId66" w:history="1">
        <w:r w:rsidRPr="00AE5EA7">
          <w:rPr>
            <w:rStyle w:val="wtoffscreen"/>
            <w:color w:val="999999"/>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color w:val="404040"/>
          <w:szCs w:val="18"/>
        </w:rPr>
        <w:t> va juca un rol esențial în transformarea digitală, în conformitate cu obiectivele digitale pentru 2030.</w:t>
      </w:r>
    </w:p>
    <w:p w14:paraId="1540460A"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lastRenderedPageBreak/>
        <w:t>Margrethe </w:t>
      </w:r>
      <w:r w:rsidRPr="00AE5EA7">
        <w:rPr>
          <w:rStyle w:val="Strong"/>
          <w:color w:val="404040"/>
        </w:rPr>
        <w:t>Vestager</w:t>
      </w:r>
      <w:r w:rsidRPr="00AE5EA7">
        <w:rPr>
          <w:rFonts w:ascii="Verdana" w:hAnsi="Verdana"/>
          <w:color w:val="404040"/>
          <w:sz w:val="18"/>
          <w:szCs w:val="18"/>
        </w:rPr>
        <w:t>, vicepreședinta executivă pentru o Europă pregătită pentru era digitală, a declarat: </w:t>
      </w:r>
      <w:r w:rsidRPr="00AE5EA7">
        <w:rPr>
          <w:rStyle w:val="Emphasis"/>
          <w:color w:val="404040"/>
        </w:rPr>
        <w:t>Dorim să oferim consumatorilor și întreprinderilor un control și mai mare asupra a ceea ce se poate face cu datele lor, precizând cine poate accesa datele și în ce condiții. Avem de-a face, așadar, cu un principiu digital esențial care va contribui la crearea unei economii solide și echitabile bazate pe date și va orienta transformarea digitală la orizontul 2030.</w:t>
      </w:r>
    </w:p>
    <w:p w14:paraId="5DCBB32A"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Thierry </w:t>
      </w:r>
      <w:r w:rsidRPr="00AE5EA7">
        <w:rPr>
          <w:rStyle w:val="Strong"/>
          <w:color w:val="404040"/>
        </w:rPr>
        <w:t>Breton</w:t>
      </w:r>
      <w:r w:rsidRPr="00AE5EA7">
        <w:rPr>
          <w:rFonts w:ascii="Verdana" w:hAnsi="Verdana"/>
          <w:color w:val="404040"/>
          <w:sz w:val="18"/>
          <w:szCs w:val="18"/>
        </w:rPr>
        <w:t>, comisarul pentru piața internă, a adăugat: </w:t>
      </w:r>
      <w:r w:rsidRPr="00AE5EA7">
        <w:rPr>
          <w:rStyle w:val="Emphasis"/>
          <w:color w:val="404040"/>
        </w:rPr>
        <w:t>Astăzi facem un pas important în privința deblocării unei multitudini de date industriale în Europa, în beneficiul întreprinderilor, al consumatorilor, al serviciilor publice și al societății în ansamblu. Până acum, s-a utilizat doar o mică parte din datele industriale, iar potențialul de creștere și inovare este enorm. Legea privind datele va garanta faptul că datele industriale sunt partajate, stocate și prelucrate cu respectarea deplină a normelor europene. Aceasta va constitui piatra de temelie a unei economii digitale europene puternice, inovatoare și suverane.</w:t>
      </w:r>
    </w:p>
    <w:p w14:paraId="6AA541AD"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Întocmai ca luminile stradale sau vederile panoramice, datele constituie bunuri neconsumptibile: pot fi accesate de mai multe persoane în același timp și pot fi consumate de nenumărate ori fără ca acest lucru să le afecteze calitatea sau să existe riscul epuizării resurselor. Volumul datelor este în continuă creștere, de la 33 de zettabytes generate în 2018 la 175 de zettabytes preconizate pentru 2025. Este vorba de un potențial neexploatat, 80 % din datele industriale nefiind utilizate vreodată. Legea privind datele abordează aspectele juridice, economice și tehnice care conduc la o subutilizare a datelor. Noile norme vor pune la dispoziție un volum mai mare de date în vederea reutilizării și se preconizează că vor genera o contribuție suplimentară de 270 de miliarde EUR la PIB până în 2028.</w:t>
      </w:r>
    </w:p>
    <w:p w14:paraId="60D56782"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Propunerea de Lege privind datele include:</w:t>
      </w:r>
    </w:p>
    <w:p w14:paraId="75F0C203" w14:textId="77777777" w:rsidR="000F0179" w:rsidRPr="00AE5EA7" w:rsidRDefault="000F0179" w:rsidP="00AE5EA7">
      <w:pPr>
        <w:numPr>
          <w:ilvl w:val="0"/>
          <w:numId w:val="29"/>
        </w:numPr>
        <w:ind w:left="0" w:firstLine="0"/>
        <w:rPr>
          <w:color w:val="404040"/>
          <w:szCs w:val="18"/>
        </w:rPr>
      </w:pPr>
      <w:r w:rsidRPr="00AE5EA7">
        <w:rPr>
          <w:color w:val="404040"/>
          <w:szCs w:val="18"/>
        </w:rPr>
        <w:t>măsuri care să le permită utilizatorilor de dispozitive conectate să aibă acces la datele generate de respectivele dispozitive, date care sunt adesea colectate exclusiv de către producători; măsuri care să permită schimbul de astfel de date cu părți terțe pentru a furniza servicii post-vânzare sau alte servicii inovatoare bazate pe date. Propunerea menține stimulentele oferite producătorilor pentru a-i îndemna să continue să investească în generarea de date de înaltă calitate, prin acoperirea costurilor lor legate de transfer și prin excluderea utilizării datelor partajate care sunt în concurență directă cu produsul lor.</w:t>
      </w:r>
    </w:p>
    <w:p w14:paraId="304FDA7D" w14:textId="77777777" w:rsidR="000F0179" w:rsidRPr="00AE5EA7" w:rsidRDefault="000F0179" w:rsidP="00AE5EA7">
      <w:pPr>
        <w:numPr>
          <w:ilvl w:val="0"/>
          <w:numId w:val="29"/>
        </w:numPr>
        <w:ind w:left="0" w:firstLine="0"/>
        <w:rPr>
          <w:color w:val="404040"/>
          <w:szCs w:val="18"/>
        </w:rPr>
      </w:pPr>
      <w:r w:rsidRPr="00AE5EA7">
        <w:rPr>
          <w:color w:val="404040"/>
          <w:szCs w:val="18"/>
        </w:rPr>
        <w:t>Măsuri de </w:t>
      </w:r>
      <w:r w:rsidRPr="00AE5EA7">
        <w:rPr>
          <w:rStyle w:val="Strong"/>
          <w:color w:val="404040"/>
        </w:rPr>
        <w:t>reechilibrare a puterii de negociere a IMM-urilor prin prevenirea dezechilibrelor contractuale excesive</w:t>
      </w:r>
      <w:r w:rsidRPr="00AE5EA7">
        <w:rPr>
          <w:color w:val="404040"/>
          <w:szCs w:val="18"/>
        </w:rPr>
        <w:t> în contractele de schimb de date. Legea privind datele le va proteja de clauzele contractuale abuzive impuse de o parte care dispune de o poziție de negociere mult mai puternică. De asemenea, Comisia va elabora modele de clauze contractuale pentru a ajuta aceste întreprinderi să elaboreze și să negocieze contracte echitabile de partajare a datelor.</w:t>
      </w:r>
    </w:p>
    <w:p w14:paraId="027DA862" w14:textId="77777777" w:rsidR="000F0179" w:rsidRPr="00AE5EA7" w:rsidRDefault="000F0179" w:rsidP="00AE5EA7">
      <w:pPr>
        <w:numPr>
          <w:ilvl w:val="0"/>
          <w:numId w:val="29"/>
        </w:numPr>
        <w:ind w:left="0" w:firstLine="0"/>
        <w:rPr>
          <w:color w:val="404040"/>
          <w:szCs w:val="18"/>
        </w:rPr>
      </w:pPr>
      <w:r w:rsidRPr="00AE5EA7">
        <w:rPr>
          <w:color w:val="404040"/>
          <w:szCs w:val="18"/>
        </w:rPr>
        <w:t>Mijloace conferite </w:t>
      </w:r>
      <w:r w:rsidRPr="00AE5EA7">
        <w:rPr>
          <w:rStyle w:val="Strong"/>
          <w:color w:val="404040"/>
        </w:rPr>
        <w:t>organismelor din sectorul public pentru a accesa și a utiliza datele</w:t>
      </w:r>
      <w:r w:rsidRPr="00AE5EA7">
        <w:rPr>
          <w:color w:val="404040"/>
          <w:szCs w:val="18"/>
        </w:rPr>
        <w:t> deținute de sectorul privat care sunt necesare în circumstanțe excepționale, de exemplu în cazul unei urgențe publice, cum ar fi inundațiile și incendiile forestiere, sau pentru a pune în aplicare un mandat legal în cazul în care datele nu ar fi disponibile în alt mod. Este necesar să se ia cunoștință de datele respective pentru a putea răspunde rapid și în condiții de siguranță, reducând totodată la minimum sarcina asupra întreprinderilor.</w:t>
      </w:r>
    </w:p>
    <w:p w14:paraId="29B16935" w14:textId="77777777" w:rsidR="000F0179" w:rsidRPr="00AE5EA7" w:rsidRDefault="000F0179" w:rsidP="00AE5EA7">
      <w:pPr>
        <w:numPr>
          <w:ilvl w:val="0"/>
          <w:numId w:val="30"/>
        </w:numPr>
        <w:ind w:left="0" w:firstLine="0"/>
        <w:rPr>
          <w:color w:val="404040"/>
          <w:szCs w:val="18"/>
        </w:rPr>
      </w:pPr>
      <w:r w:rsidRPr="00AE5EA7">
        <w:rPr>
          <w:color w:val="404040"/>
          <w:szCs w:val="18"/>
        </w:rPr>
        <w:t>Noi norme care </w:t>
      </w:r>
      <w:r w:rsidRPr="00AE5EA7">
        <w:rPr>
          <w:rStyle w:val="Strong"/>
          <w:color w:val="404040"/>
        </w:rPr>
        <w:t>să le permită clienților să treacă efectiv</w:t>
      </w:r>
      <w:r w:rsidRPr="00AE5EA7">
        <w:rPr>
          <w:color w:val="404040"/>
          <w:szCs w:val="18"/>
        </w:rPr>
        <w:t> de la un furnizor de servicii de prelucrare a datelor în </w:t>
      </w:r>
      <w:r w:rsidRPr="00AE5EA7">
        <w:rPr>
          <w:rStyle w:val="Emphasis"/>
          <w:color w:val="404040"/>
        </w:rPr>
        <w:t>cloud</w:t>
      </w:r>
      <w:r w:rsidRPr="00AE5EA7">
        <w:rPr>
          <w:color w:val="404040"/>
          <w:szCs w:val="18"/>
        </w:rPr>
        <w:t> la altul și </w:t>
      </w:r>
      <w:r w:rsidRPr="00AE5EA7">
        <w:rPr>
          <w:rStyle w:val="Strong"/>
          <w:color w:val="404040"/>
        </w:rPr>
        <w:t>să instituie garanții împotriva transferului ilegal de date</w:t>
      </w:r>
      <w:r w:rsidRPr="00AE5EA7">
        <w:rPr>
          <w:color w:val="404040"/>
          <w:szCs w:val="18"/>
        </w:rPr>
        <w:t>.</w:t>
      </w:r>
    </w:p>
    <w:p w14:paraId="161DD32D"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 plus, Legea privind datele revizuiește anumite aspecte ale </w:t>
      </w:r>
      <w:hyperlink r:id="rId67" w:history="1">
        <w:r w:rsidRPr="00AE5EA7">
          <w:rPr>
            <w:rStyle w:val="Hyperlink"/>
            <w:rFonts w:cs="Arial"/>
            <w:color w:val="004494"/>
          </w:rPr>
          <w:t>Directivei privind bazele de date</w:t>
        </w:r>
      </w:hyperlink>
      <w:hyperlink r:id="rId68"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care a fost creată în anii '90 pentru a proteja investițiile în prezentarea structurată a datelor. Directiva clarifică în special faptul că bazele de date care se alimentează de la dispozitivele și obiectele internetului obiectelor (IoT) nu ar trebui să beneficieze de o protecție juridică separată. Astfel, se va garanta faptul că datele vor putea fi accesate și utilizate.</w:t>
      </w:r>
    </w:p>
    <w:p w14:paraId="113B2351"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Consumatorii și întreprinderile</w:t>
      </w:r>
      <w:r w:rsidRPr="00AE5EA7">
        <w:rPr>
          <w:rFonts w:ascii="Verdana" w:hAnsi="Verdana"/>
          <w:color w:val="404040"/>
          <w:sz w:val="18"/>
          <w:szCs w:val="18"/>
        </w:rPr>
        <w:t> vor putea avea acces la datele dispozitivului lor și le vor putea utiliza pentru servicii post-vânzare și servicii cu valoare adăugată, cum ar fi mentenanța predictivă. Datorită faptului că dispun de mai multe informații, consumatorii și utilizatorii, de exemplu fermierii, companiile aeriene sau societățile de construcții, vor fi în măsură să ia decizii mai bune, de exemplu vor putea achiziționa produse și servicii de calitate superioară sau mai durabile, contribuind astfel la obiectivele Pactului verde.</w:t>
      </w:r>
    </w:p>
    <w:p w14:paraId="24C69638"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lastRenderedPageBreak/>
        <w:t>Întreprinderile și actorii industriali</w:t>
      </w:r>
      <w:r w:rsidRPr="00AE5EA7">
        <w:rPr>
          <w:rFonts w:ascii="Verdana" w:hAnsi="Verdana"/>
          <w:color w:val="404040"/>
          <w:sz w:val="18"/>
          <w:szCs w:val="18"/>
        </w:rPr>
        <w:t> vor dispune de o panoplie mai amplă de date și vor beneficia de o piață competitivă a datelor. Furnizorii de servicii post-vânzare vor fi în măsură să ofere servicii mai personalizate și să concureze pe picior de egalitate cu serviciile comparabile oferite de producători, în timp ce datele pot fi combinate pentru a dezvolta, de asemenea, servicii digitale complet noi.</w:t>
      </w:r>
    </w:p>
    <w:p w14:paraId="717DBA3B"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Astăzi, în sprijinul Strategiei europene privind datele, Comisia a publicat și o </w:t>
      </w:r>
      <w:hyperlink r:id="rId69" w:history="1">
        <w:r w:rsidRPr="00AE5EA7">
          <w:rPr>
            <w:rStyle w:val="Hyperlink"/>
            <w:rFonts w:cs="Arial"/>
            <w:color w:val="004494"/>
          </w:rPr>
          <w:t>prezentare generală a spațiilor europene comune ale datelor</w:t>
        </w:r>
      </w:hyperlink>
      <w:r w:rsidRPr="00AE5EA7">
        <w:rPr>
          <w:rFonts w:ascii="Verdana" w:hAnsi="Verdana"/>
          <w:color w:val="404040"/>
          <w:sz w:val="18"/>
          <w:szCs w:val="18"/>
        </w:rPr>
        <w:t> care sunt în curs de dezvoltare în diferite sectoare și domenii.</w:t>
      </w:r>
    </w:p>
    <w:p w14:paraId="7F5E6C1B" w14:textId="77777777" w:rsidR="000F0179" w:rsidRPr="00AE5EA7" w:rsidRDefault="000F0179" w:rsidP="00AE5EA7">
      <w:pPr>
        <w:rPr>
          <w:b/>
          <w:sz w:val="16"/>
        </w:rPr>
      </w:pPr>
      <w:r w:rsidRPr="00AE5EA7">
        <w:rPr>
          <w:b/>
          <w:sz w:val="16"/>
        </w:rPr>
        <w:t>Context</w:t>
      </w:r>
    </w:p>
    <w:p w14:paraId="64663F9E"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Ca urmare a </w:t>
      </w:r>
      <w:hyperlink r:id="rId70" w:history="1">
        <w:r w:rsidRPr="00AE5EA7">
          <w:rPr>
            <w:rStyle w:val="Hyperlink"/>
            <w:rFonts w:cs="Arial"/>
            <w:color w:val="004494"/>
          </w:rPr>
          <w:t>Legii privind guvernanța datelor</w:t>
        </w:r>
      </w:hyperlink>
      <w:hyperlink r:id="rId71"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propunerea de astăzi este a doua inițiativă legislativă principală ce decurge din </w:t>
      </w:r>
      <w:hyperlink r:id="rId72" w:history="1">
        <w:r w:rsidRPr="00AE5EA7">
          <w:rPr>
            <w:rStyle w:val="Hyperlink"/>
            <w:rFonts w:cs="Arial"/>
            <w:color w:val="004494"/>
          </w:rPr>
          <w:t>Strategia europeană privind datele</w:t>
        </w:r>
      </w:hyperlink>
      <w:hyperlink r:id="rId73"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EN</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din februarie 2020, care urmărește să ajute UE să devină lider în societatea noastră bazată pe date.</w:t>
      </w:r>
    </w:p>
    <w:p w14:paraId="41A37B52"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Împreună, aceste inițiative vor debloca potențialul economic și societal al datelor și al tehnologiilor în conformitate cu normele și cu valorile UE. Acestea vor crea o piață unică pentru a permite libera circulație a datelor în cadrul UE și între sectoare, în beneficiul întreprinderilor, al cercetătorilor, al administrațiilor publice și al societății în general.</w:t>
      </w:r>
    </w:p>
    <w:p w14:paraId="37BEDA59"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 timp ce Legea privind guvernanța datelor, </w:t>
      </w:r>
      <w:hyperlink r:id="rId74" w:history="1">
        <w:r w:rsidRPr="00AE5EA7">
          <w:rPr>
            <w:rStyle w:val="Hyperlink"/>
            <w:rFonts w:cs="Arial"/>
            <w:color w:val="004494"/>
          </w:rPr>
          <w:t>prezentată în noiembrie 2020</w:t>
        </w:r>
      </w:hyperlink>
      <w:hyperlink r:id="rId75"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și </w:t>
      </w:r>
      <w:hyperlink r:id="rId76" w:history="1">
        <w:r w:rsidRPr="00AE5EA7">
          <w:rPr>
            <w:rStyle w:val="Hyperlink"/>
            <w:rFonts w:cs="Arial"/>
            <w:color w:val="004494"/>
          </w:rPr>
          <w:t>convenită</w:t>
        </w:r>
      </w:hyperlink>
      <w:hyperlink r:id="rId77"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de colegiuitori în noiembrie 2021, creează procesele și structurile necesare pentru a facilita schimbul de date între întreprinderi, persoane fizice și sectorul public, Legea privind datele clarifică cine poate crea valoare din date și în ce condiții.</w:t>
      </w:r>
    </w:p>
    <w:p w14:paraId="2FCB4ED7"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O consultare publică deschisă cu privire la Legea privind datele s-a desfășurat în perioada 3 iunie-3 septembrie 2021 și a colectat opinii cu privire la măsurile de asigurare a echității în ceea ce privește schimbul de date și a valorii pentru consumatori și întreprinderi. </w:t>
      </w:r>
      <w:hyperlink r:id="rId78" w:history="1">
        <w:r w:rsidRPr="00AE5EA7">
          <w:rPr>
            <w:rStyle w:val="Hyperlink"/>
            <w:rFonts w:cs="Arial"/>
            <w:color w:val="004494"/>
          </w:rPr>
          <w:t>Rezultatele</w:t>
        </w:r>
      </w:hyperlink>
      <w:hyperlink r:id="rId79"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EN</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au fost publicate la 6 decembrie 2021. </w:t>
      </w:r>
    </w:p>
    <w:p w14:paraId="259C6506" w14:textId="77777777" w:rsidR="000F0179" w:rsidRPr="00AE5EA7" w:rsidRDefault="000F0179" w:rsidP="00AE5EA7">
      <w:pPr>
        <w:rPr>
          <w:b/>
          <w:sz w:val="16"/>
        </w:rPr>
      </w:pPr>
      <w:r w:rsidRPr="00AE5EA7">
        <w:rPr>
          <w:b/>
          <w:sz w:val="16"/>
        </w:rPr>
        <w:t>Pentru mai multe informații</w:t>
      </w:r>
    </w:p>
    <w:p w14:paraId="7BDC65A0"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80" w:history="1">
        <w:r w:rsidR="000F0179" w:rsidRPr="00AE5EA7">
          <w:rPr>
            <w:rStyle w:val="Hyperlink"/>
            <w:rFonts w:cs="Arial"/>
            <w:color w:val="004494"/>
          </w:rPr>
          <w:t>Legea privind datele – Întrebări și răspunsuri</w:t>
        </w:r>
      </w:hyperlink>
      <w:hyperlink r:id="rId81"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EN</w:t>
        </w:r>
        <w:r w:rsidR="000F0179" w:rsidRPr="00AE5EA7">
          <w:rPr>
            <w:rStyle w:val="Hyperlink"/>
            <w:b/>
            <w:bCs/>
            <w:color w:val="CCCCCC"/>
            <w:bdr w:val="single" w:sz="6" w:space="2" w:color="AAAAAA" w:frame="1"/>
            <w:shd w:val="clear" w:color="auto" w:fill="FFFFFF"/>
          </w:rPr>
          <w:t>•••</w:t>
        </w:r>
      </w:hyperlink>
    </w:p>
    <w:p w14:paraId="5133B225"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82" w:history="1">
        <w:r w:rsidR="000F0179" w:rsidRPr="00AE5EA7">
          <w:rPr>
            <w:rStyle w:val="Hyperlink"/>
            <w:rFonts w:cs="Arial"/>
            <w:color w:val="004494"/>
          </w:rPr>
          <w:t>Legea privind datele – fișă informativă</w:t>
        </w:r>
      </w:hyperlink>
    </w:p>
    <w:p w14:paraId="47461B92"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83" w:history="1">
        <w:r w:rsidR="000F0179" w:rsidRPr="00AE5EA7">
          <w:rPr>
            <w:rStyle w:val="Hyperlink"/>
            <w:rFonts w:cs="Arial"/>
            <w:color w:val="004494"/>
          </w:rPr>
          <w:t>Legea privind datele – text juridic</w:t>
        </w:r>
      </w:hyperlink>
    </w:p>
    <w:p w14:paraId="679C799E"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84" w:history="1">
        <w:r w:rsidR="000F0179" w:rsidRPr="00AE5EA7">
          <w:rPr>
            <w:rStyle w:val="Hyperlink"/>
            <w:rFonts w:cs="Arial"/>
            <w:color w:val="004494"/>
          </w:rPr>
          <w:t>Pagină informativă referitoare la Strategia europeană privind datele</w:t>
        </w:r>
      </w:hyperlink>
      <w:hyperlink r:id="rId85"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EN</w:t>
        </w:r>
        <w:r w:rsidR="000F0179" w:rsidRPr="00AE5EA7">
          <w:rPr>
            <w:rStyle w:val="Hyperlink"/>
            <w:b/>
            <w:bCs/>
            <w:color w:val="CCCCCC"/>
            <w:bdr w:val="single" w:sz="6" w:space="2" w:color="AAAAAA" w:frame="1"/>
            <w:shd w:val="clear" w:color="auto" w:fill="FFFFFF"/>
          </w:rPr>
          <w:t>•••</w:t>
        </w:r>
      </w:hyperlink>
    </w:p>
    <w:p w14:paraId="78F28A78"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Propunere de </w:t>
      </w:r>
      <w:hyperlink r:id="rId86" w:history="1">
        <w:r w:rsidRPr="00AE5EA7">
          <w:rPr>
            <w:rStyle w:val="Hyperlink"/>
            <w:rFonts w:cs="Arial"/>
            <w:color w:val="004494"/>
          </w:rPr>
          <w:t>lege privind guvernanța datelor</w:t>
        </w:r>
      </w:hyperlink>
      <w:hyperlink r:id="rId87" w:history="1">
        <w:r w:rsidRPr="00AE5EA7">
          <w:rPr>
            <w:rStyle w:val="wtoffscreen"/>
            <w:rFonts w:ascii="Verdana" w:hAnsi="Verdana"/>
            <w:color w:val="BBBBBB"/>
            <w:sz w:val="18"/>
            <w:szCs w:val="18"/>
            <w:u w:val="single"/>
            <w:bdr w:val="none" w:sz="0" w:space="0" w:color="auto" w:frame="1"/>
          </w:rPr>
          <w:t>Căutați traducerile disponibile pentru linkul precedent</w:t>
        </w:r>
        <w:r w:rsidRPr="00AE5EA7">
          <w:rPr>
            <w:rStyle w:val="Hyperlink"/>
            <w:color w:val="BBBBBB"/>
            <w:bdr w:val="none" w:sz="0" w:space="0" w:color="auto" w:frame="1"/>
          </w:rPr>
          <w:t>RO</w:t>
        </w:r>
        <w:r w:rsidRPr="00AE5EA7">
          <w:rPr>
            <w:rStyle w:val="Hyperlink"/>
            <w:b/>
            <w:bCs/>
            <w:color w:val="CCCCCC"/>
            <w:bdr w:val="none" w:sz="0" w:space="0" w:color="auto" w:frame="1"/>
          </w:rPr>
          <w:t>•••</w:t>
        </w:r>
      </w:hyperlink>
    </w:p>
    <w:p w14:paraId="0BB72943"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88" w:history="1">
        <w:r w:rsidR="000F0179" w:rsidRPr="00AE5EA7">
          <w:rPr>
            <w:rStyle w:val="Hyperlink"/>
            <w:rFonts w:cs="Arial"/>
            <w:color w:val="004494"/>
          </w:rPr>
          <w:t>Grupul de experți</w:t>
        </w:r>
      </w:hyperlink>
      <w:hyperlink r:id="rId89"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EN</w:t>
        </w:r>
        <w:r w:rsidR="000F0179" w:rsidRPr="00AE5EA7">
          <w:rPr>
            <w:rStyle w:val="Hyperlink"/>
            <w:b/>
            <w:bCs/>
            <w:color w:val="CCCCCC"/>
            <w:bdr w:val="single" w:sz="6" w:space="2" w:color="AAAAAA" w:frame="1"/>
            <w:shd w:val="clear" w:color="auto" w:fill="FFFFFF"/>
          </w:rPr>
          <w:t>•••</w:t>
        </w:r>
      </w:hyperlink>
      <w:r w:rsidR="000F0179" w:rsidRPr="00AE5EA7">
        <w:rPr>
          <w:rFonts w:ascii="Verdana" w:hAnsi="Verdana"/>
          <w:color w:val="404040"/>
          <w:sz w:val="18"/>
          <w:szCs w:val="18"/>
        </w:rPr>
        <w:t> privind </w:t>
      </w:r>
      <w:hyperlink r:id="rId90" w:history="1">
        <w:r w:rsidR="000F0179" w:rsidRPr="00AE5EA7">
          <w:rPr>
            <w:rStyle w:val="Hyperlink"/>
            <w:rFonts w:cs="Arial"/>
            <w:color w:val="004494"/>
          </w:rPr>
          <w:t>schimbul de date între întreprinderi (B2B) și contractele de tip </w:t>
        </w:r>
        <w:r w:rsidR="000F0179" w:rsidRPr="00AE5EA7">
          <w:rPr>
            <w:rStyle w:val="Emphasis"/>
            <w:color w:val="004494"/>
            <w:u w:val="single"/>
          </w:rPr>
          <w:t>cloud</w:t>
        </w:r>
      </w:hyperlink>
      <w:hyperlink r:id="rId91"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EN</w:t>
        </w:r>
        <w:r w:rsidR="000F0179" w:rsidRPr="00AE5EA7">
          <w:rPr>
            <w:rStyle w:val="Hyperlink"/>
            <w:b/>
            <w:bCs/>
            <w:color w:val="CCCCCC"/>
            <w:bdr w:val="single" w:sz="6" w:space="2" w:color="AAAAAA" w:frame="1"/>
            <w:shd w:val="clear" w:color="auto" w:fill="FFFFFF"/>
          </w:rPr>
          <w:t>•••</w:t>
        </w:r>
      </w:hyperlink>
    </w:p>
    <w:p w14:paraId="2DBAF84B" w14:textId="4085EC60" w:rsidR="000F0179" w:rsidRPr="00AE5EA7" w:rsidRDefault="000F0179" w:rsidP="00AE5EA7">
      <w:pPr>
        <w:pStyle w:val="separatorarticole"/>
      </w:pPr>
      <w:r w:rsidRPr="00AE5EA7">
        <w:t>*</w:t>
      </w:r>
    </w:p>
    <w:p w14:paraId="06AFCBE7" w14:textId="77777777" w:rsidR="000F0179" w:rsidRPr="00AE5EA7" w:rsidRDefault="000F0179" w:rsidP="00AE5EA7">
      <w:pPr>
        <w:pStyle w:val="TitluArticolinINFOUE"/>
        <w:rPr>
          <w:lang w:eastAsia="ro-RO"/>
        </w:rPr>
      </w:pPr>
      <w:bookmarkStart w:id="162" w:name="_Toc96929085"/>
      <w:r w:rsidRPr="00AE5EA7">
        <w:t>Comisia prezintă un bilanț aprofundat actualizat al dependențelor strategice ale Europei</w:t>
      </w:r>
      <w:bookmarkEnd w:id="162"/>
    </w:p>
    <w:p w14:paraId="212DFEB6" w14:textId="77777777" w:rsidR="000F0179" w:rsidRPr="00AE5EA7" w:rsidRDefault="000F0179" w:rsidP="00AE5EA7">
      <w:pPr>
        <w:pStyle w:val="ecl-page-header-standardiseddescription"/>
        <w:spacing w:before="120" w:beforeAutospacing="0" w:after="0" w:afterAutospacing="0"/>
        <w:rPr>
          <w:rFonts w:ascii="Verdana" w:hAnsi="Verdana" w:cs="Arial"/>
          <w:color w:val="404040"/>
          <w:sz w:val="18"/>
          <w:szCs w:val="18"/>
        </w:rPr>
      </w:pPr>
      <w:r w:rsidRPr="00AE5EA7">
        <w:rPr>
          <w:rFonts w:ascii="Verdana" w:hAnsi="Verdana" w:cs="Arial"/>
          <w:color w:val="404040"/>
          <w:sz w:val="18"/>
          <w:szCs w:val="18"/>
        </w:rPr>
        <w:t>Astăzi, 23 februarie, Comisia a publicat a doua ediție a analizei aprofundate a </w:t>
      </w:r>
      <w:hyperlink r:id="rId92" w:history="1">
        <w:r w:rsidRPr="00AE5EA7">
          <w:rPr>
            <w:rStyle w:val="Hyperlink"/>
            <w:rFonts w:cs="Arial"/>
            <w:color w:val="004494"/>
          </w:rPr>
          <w:t>dependențelor strategice ale Europei</w:t>
        </w:r>
      </w:hyperlink>
      <w:r w:rsidRPr="00AE5EA7">
        <w:rPr>
          <w:rFonts w:ascii="Verdana" w:hAnsi="Verdana" w:cs="Arial"/>
          <w:color w:val="404040"/>
          <w:sz w:val="18"/>
          <w:szCs w:val="18"/>
        </w:rPr>
        <w:t>. </w:t>
      </w:r>
    </w:p>
    <w:p w14:paraId="708B5EFA" w14:textId="0E93FCFB" w:rsidR="000F0179" w:rsidRPr="00AE5EA7" w:rsidRDefault="000F0179" w:rsidP="00AE5EA7">
      <w:pPr>
        <w:rPr>
          <w:color w:val="404040"/>
          <w:szCs w:val="18"/>
        </w:rPr>
      </w:pPr>
      <w:r w:rsidRPr="00AE5EA7">
        <w:rPr>
          <w:noProof/>
          <w:szCs w:val="18"/>
          <w:lang w:eastAsia="ro-RO"/>
        </w:rPr>
        <w:lastRenderedPageBreak/>
        <w:drawing>
          <wp:anchor distT="0" distB="0" distL="114300" distR="114300" simplePos="0" relativeHeight="252018688" behindDoc="0" locked="0" layoutInCell="1" allowOverlap="1" wp14:anchorId="47BEADCD" wp14:editId="3EA30217">
            <wp:simplePos x="0" y="0"/>
            <wp:positionH relativeFrom="column">
              <wp:posOffset>-1593</wp:posOffset>
            </wp:positionH>
            <wp:positionV relativeFrom="paragraph">
              <wp:posOffset>73169</wp:posOffset>
            </wp:positionV>
            <wp:extent cx="2104845" cy="1408186"/>
            <wp:effectExtent l="0" t="0" r="0" b="1905"/>
            <wp:wrapSquare wrapText="bothSides"/>
            <wp:docPr id="41" name="Picture 41" descr="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pendency"/>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104845" cy="1408186"/>
                    </a:xfrm>
                    <a:prstGeom prst="rect">
                      <a:avLst/>
                    </a:prstGeom>
                    <a:noFill/>
                    <a:ln>
                      <a:noFill/>
                    </a:ln>
                  </pic:spPr>
                </pic:pic>
              </a:graphicData>
            </a:graphic>
          </wp:anchor>
        </w:drawing>
      </w:r>
      <w:r w:rsidRPr="00AE5EA7">
        <w:rPr>
          <w:color w:val="404040"/>
          <w:szCs w:val="18"/>
        </w:rPr>
        <w:t>Raportul analizează cinci domenii – pământuri rare și magneziu, substanțe chimice, panouri solare, securitate cibernetică și programe informatice – în care Europa se confruntă cu dependențe strategice față de țări terțe. Scopul este promovarea unei mai bune înțelegeri a riscurilor care decurg din această situație și a oportunităților de abordare a respectivelor riscuri.</w:t>
      </w:r>
    </w:p>
    <w:p w14:paraId="2DC785CC"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Raportul </w:t>
      </w:r>
      <w:r w:rsidRPr="00AE5EA7">
        <w:rPr>
          <w:rFonts w:ascii="Verdana" w:hAnsi="Verdana"/>
          <w:color w:val="404040"/>
          <w:sz w:val="18"/>
          <w:szCs w:val="18"/>
        </w:rPr>
        <w:t>de astăzi </w:t>
      </w:r>
      <w:r w:rsidRPr="00AE5EA7">
        <w:rPr>
          <w:rStyle w:val="Strong"/>
          <w:color w:val="404040"/>
        </w:rPr>
        <w:t>de urmărire a situației privind dependențele strategice</w:t>
      </w:r>
      <w:r w:rsidRPr="00AE5EA7">
        <w:rPr>
          <w:rFonts w:ascii="Verdana" w:hAnsi="Verdana"/>
          <w:color w:val="404040"/>
          <w:sz w:val="18"/>
          <w:szCs w:val="18"/>
        </w:rPr>
        <w:t> evidențiază:</w:t>
      </w:r>
    </w:p>
    <w:p w14:paraId="5A64A904" w14:textId="77777777" w:rsidR="000F0179" w:rsidRPr="00AE5EA7" w:rsidRDefault="000F0179" w:rsidP="00AE5EA7">
      <w:pPr>
        <w:numPr>
          <w:ilvl w:val="0"/>
          <w:numId w:val="31"/>
        </w:numPr>
        <w:ind w:left="0" w:firstLine="0"/>
        <w:rPr>
          <w:color w:val="404040"/>
          <w:szCs w:val="18"/>
        </w:rPr>
      </w:pPr>
      <w:r w:rsidRPr="00AE5EA7">
        <w:rPr>
          <w:color w:val="404040"/>
          <w:szCs w:val="18"/>
        </w:rPr>
        <w:t>Dependențele strategice de </w:t>
      </w:r>
      <w:r w:rsidRPr="00AE5EA7">
        <w:rPr>
          <w:rStyle w:val="Strong"/>
          <w:color w:val="404040"/>
        </w:rPr>
        <w:t>pământuri rare</w:t>
      </w:r>
      <w:r w:rsidRPr="00AE5EA7">
        <w:rPr>
          <w:color w:val="404040"/>
          <w:szCs w:val="18"/>
        </w:rPr>
        <w:t>, de </w:t>
      </w:r>
      <w:r w:rsidRPr="00AE5EA7">
        <w:rPr>
          <w:rStyle w:val="Strong"/>
          <w:color w:val="404040"/>
        </w:rPr>
        <w:t>magneziu</w:t>
      </w:r>
      <w:r w:rsidRPr="00AE5EA7">
        <w:rPr>
          <w:color w:val="404040"/>
          <w:szCs w:val="18"/>
        </w:rPr>
        <w:t> și de </w:t>
      </w:r>
      <w:r w:rsidRPr="00AE5EA7">
        <w:rPr>
          <w:rStyle w:val="Strong"/>
          <w:color w:val="404040"/>
        </w:rPr>
        <w:t>panouri fotovoltaice</w:t>
      </w:r>
      <w:r w:rsidRPr="00AE5EA7">
        <w:rPr>
          <w:color w:val="404040"/>
          <w:szCs w:val="18"/>
        </w:rPr>
        <w:t> decurg din concentrarea puternică a producției mondiale în China, din opțiunile actuale limitate de diversificare a aprovizionării, inclusiv în interiorul UE, sau de substituire. De asemenea, sunt identificate dependențe în cazul mai multor </w:t>
      </w:r>
      <w:r w:rsidRPr="00AE5EA7">
        <w:rPr>
          <w:rStyle w:val="Strong"/>
          <w:color w:val="404040"/>
        </w:rPr>
        <w:t>substanțe chimice</w:t>
      </w:r>
      <w:r w:rsidRPr="00AE5EA7">
        <w:rPr>
          <w:color w:val="404040"/>
          <w:szCs w:val="18"/>
        </w:rPr>
        <w:t> de importanță critică într-o serie de ecosisteme industriale. În plus, raportul identifică deficiențe în comparație cu concurenții UE la nivel mondial în ceea ce privește tehnologiile-cheie, cum ar fi </w:t>
      </w:r>
      <w:r w:rsidRPr="00AE5EA7">
        <w:rPr>
          <w:rStyle w:val="Strong"/>
          <w:color w:val="404040"/>
        </w:rPr>
        <w:t>securitatea cibernetică</w:t>
      </w:r>
      <w:r w:rsidRPr="00AE5EA7">
        <w:rPr>
          <w:color w:val="404040"/>
          <w:szCs w:val="18"/>
        </w:rPr>
        <w:t> și </w:t>
      </w:r>
      <w:r w:rsidRPr="00AE5EA7">
        <w:rPr>
          <w:rStyle w:val="Strong"/>
          <w:color w:val="404040"/>
        </w:rPr>
        <w:t>programele informatice</w:t>
      </w:r>
      <w:r w:rsidRPr="00AE5EA7">
        <w:rPr>
          <w:color w:val="404040"/>
          <w:szCs w:val="18"/>
        </w:rPr>
        <w:t>.</w:t>
      </w:r>
    </w:p>
    <w:p w14:paraId="62B4EA59" w14:textId="77777777" w:rsidR="000F0179" w:rsidRPr="00AE5EA7" w:rsidRDefault="000F0179" w:rsidP="00AE5EA7">
      <w:pPr>
        <w:numPr>
          <w:ilvl w:val="0"/>
          <w:numId w:val="31"/>
        </w:numPr>
        <w:ind w:left="0" w:firstLine="0"/>
        <w:rPr>
          <w:color w:val="404040"/>
          <w:szCs w:val="18"/>
        </w:rPr>
      </w:pPr>
      <w:r w:rsidRPr="00AE5EA7">
        <w:rPr>
          <w:color w:val="404040"/>
          <w:szCs w:val="18"/>
        </w:rPr>
        <w:t>Aducând în vizor sectoarele analizate în cadrul primei ediții de bilanțuri aprofundate, raportul evaluează setul de acțiuni care au fost inițiate pentru a remedia aceste dependențe strategice. Raportul a arătat că s-au făcut progrese semnificative. Printre acestea se numără derularea unor proiecte de investiții prin </w:t>
      </w:r>
      <w:r w:rsidRPr="00AE5EA7">
        <w:rPr>
          <w:rStyle w:val="Strong"/>
          <w:color w:val="404040"/>
        </w:rPr>
        <w:t>alianțele industriale</w:t>
      </w:r>
      <w:r w:rsidRPr="00AE5EA7">
        <w:rPr>
          <w:color w:val="404040"/>
          <w:szCs w:val="18"/>
        </w:rPr>
        <w:t> existente referitoare la materii prime, baterii și hidrogen, precum și prin alianțele lansate recent privind semiconductorii și serviciile de </w:t>
      </w:r>
      <w:r w:rsidRPr="00AE5EA7">
        <w:rPr>
          <w:rStyle w:val="Emphasis"/>
          <w:color w:val="404040"/>
        </w:rPr>
        <w:t>cloud</w:t>
      </w:r>
      <w:r w:rsidRPr="00AE5EA7">
        <w:rPr>
          <w:color w:val="404040"/>
          <w:szCs w:val="18"/>
        </w:rPr>
        <w:t>; adoptarea </w:t>
      </w:r>
      <w:r w:rsidRPr="00AE5EA7">
        <w:rPr>
          <w:rStyle w:val="Strong"/>
          <w:color w:val="404040"/>
        </w:rPr>
        <w:t>propunerilor de reglementare</w:t>
      </w:r>
      <w:r w:rsidRPr="00AE5EA7">
        <w:rPr>
          <w:color w:val="404040"/>
          <w:szCs w:val="18"/>
        </w:rPr>
        <w:t> ale Comisiei privind bateriile, hidrogenul și semiconductorii, precum și noi </w:t>
      </w:r>
      <w:r w:rsidRPr="00AE5EA7">
        <w:rPr>
          <w:rStyle w:val="Strong"/>
          <w:color w:val="404040"/>
        </w:rPr>
        <w:t>parteneriate internaționale</w:t>
      </w:r>
      <w:r w:rsidRPr="00AE5EA7">
        <w:rPr>
          <w:color w:val="404040"/>
          <w:szCs w:val="18"/>
        </w:rPr>
        <w:t>, cum ar fi cele în domeniul materiilor prime. Raportul evidențiază, de asemenea, rolul unor </w:t>
      </w:r>
      <w:r w:rsidRPr="00AE5EA7">
        <w:rPr>
          <w:rStyle w:val="Strong"/>
          <w:color w:val="404040"/>
        </w:rPr>
        <w:t>proiecte importante de interes european comun</w:t>
      </w:r>
      <w:r w:rsidRPr="00AE5EA7">
        <w:rPr>
          <w:color w:val="404040"/>
          <w:szCs w:val="18"/>
        </w:rPr>
        <w:t> în ceea ce privește inovarea revoluționară, de exemplu în domeniul semiconductorilor și al serviciilor de </w:t>
      </w:r>
      <w:r w:rsidRPr="00AE5EA7">
        <w:rPr>
          <w:rStyle w:val="Emphasis"/>
          <w:color w:val="404040"/>
        </w:rPr>
        <w:t>cloud</w:t>
      </w:r>
      <w:r w:rsidRPr="00AE5EA7">
        <w:rPr>
          <w:color w:val="404040"/>
          <w:szCs w:val="18"/>
        </w:rPr>
        <w:t>.</w:t>
      </w:r>
    </w:p>
    <w:p w14:paraId="518F47C0"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Raportul a fost întocmit pe baza primelor analize pe care se întemeiază </w:t>
      </w:r>
      <w:hyperlink r:id="rId94" w:history="1">
        <w:r w:rsidRPr="00AE5EA7">
          <w:rPr>
            <w:rStyle w:val="Hyperlink"/>
            <w:rFonts w:cs="Arial"/>
            <w:color w:val="004494"/>
          </w:rPr>
          <w:t>Strategia industrială actualizată din 2021</w:t>
        </w:r>
      </w:hyperlink>
      <w:hyperlink r:id="rId95"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în vederea tranziției Europei către o economie verde, digitală, rezilientă și competitivă la nivel mondial, ținând totodată seama de impactul pandemiei de COVID-19 asupra pieței unice.</w:t>
      </w:r>
    </w:p>
    <w:p w14:paraId="00C06E6A" w14:textId="77777777" w:rsidR="000F0179" w:rsidRPr="00C221DE" w:rsidRDefault="000F0179" w:rsidP="00C221DE">
      <w:pPr>
        <w:rPr>
          <w:b/>
        </w:rPr>
      </w:pPr>
      <w:r w:rsidRPr="00C221DE">
        <w:rPr>
          <w:b/>
        </w:rPr>
        <w:t>Context</w:t>
      </w:r>
    </w:p>
    <w:p w14:paraId="71588DEE"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 mai 2021, Comisia și-a publicat </w:t>
      </w:r>
      <w:hyperlink r:id="rId96" w:history="1">
        <w:r w:rsidRPr="00AE5EA7">
          <w:rPr>
            <w:rStyle w:val="Hyperlink"/>
            <w:rFonts w:cs="Arial"/>
            <w:color w:val="004494"/>
          </w:rPr>
          <w:t>Strategia industrială actualizată</w:t>
        </w:r>
      </w:hyperlink>
      <w:hyperlink r:id="rId97"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care răspunde învățămintelor desprinse în urma pandemiei de COVID-19 pentru a stimula redresarea economică a Europei și pentru a consolida autonomia strategică deschisă a acesteia. În </w:t>
      </w:r>
      <w:hyperlink r:id="rId98" w:history="1">
        <w:r w:rsidRPr="00AE5EA7">
          <w:rPr>
            <w:rStyle w:val="Hyperlink"/>
            <w:rFonts w:cs="Arial"/>
            <w:color w:val="004494"/>
          </w:rPr>
          <w:t>Strategia actualizată</w:t>
        </w:r>
      </w:hyperlink>
      <w:hyperlink r:id="rId99"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se reafirmă prioritățile stabilite cu un an înainte în </w:t>
      </w:r>
      <w:hyperlink r:id="rId100" w:history="1">
        <w:r w:rsidRPr="00AE5EA7">
          <w:rPr>
            <w:rStyle w:val="Hyperlink"/>
            <w:rFonts w:cs="Arial"/>
            <w:color w:val="004494"/>
          </w:rPr>
          <w:t>Comunicarea din martie 2020 privind noua strategie industrială</w:t>
        </w:r>
      </w:hyperlink>
      <w:hyperlink r:id="rId101"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care trasează calea pentru tranziția industrială verde și digitală a Europei.</w:t>
      </w:r>
    </w:p>
    <w:p w14:paraId="6D49D0DB"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Strategia industrială actualizată din 2021 a fost însoțită de un </w:t>
      </w:r>
      <w:hyperlink r:id="rId102" w:history="1">
        <w:r w:rsidRPr="00AE5EA7">
          <w:rPr>
            <w:rStyle w:val="Hyperlink"/>
            <w:rFonts w:cs="Arial"/>
            <w:color w:val="004494"/>
          </w:rPr>
          <w:t>raport care analizează dependențele strategice ale Europei</w:t>
        </w:r>
      </w:hyperlink>
      <w:hyperlink r:id="rId103"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EN</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Acesta a inclus o analiză a peste 5 000 de produse și a dezvăluit faptul că 137 de produse în ecosistemele sensibile erau extrem de dependente de furnizori străini. În plus, raportul a prezentat o </w:t>
      </w:r>
      <w:hyperlink r:id="rId104" w:history="1">
        <w:r w:rsidRPr="00AE5EA7">
          <w:rPr>
            <w:rStyle w:val="Hyperlink"/>
            <w:rFonts w:cs="Arial"/>
            <w:color w:val="004494"/>
          </w:rPr>
          <w:t>primă etapă de bilanțuri aprofundate pentru șase domenii strategice</w:t>
        </w:r>
      </w:hyperlink>
      <w:hyperlink r:id="rId105"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EN</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în care UE se confruntă cu dependențe, și anume materiile prime, bateriile, ingredientele farmaceutice active, hidrogenul curat, semiconductorii și tehnologiile de tip cloud și cele de vârf.</w:t>
      </w:r>
    </w:p>
    <w:p w14:paraId="43DE4E6E" w14:textId="77777777" w:rsidR="000F0179" w:rsidRPr="00C221DE" w:rsidRDefault="000F0179" w:rsidP="00C221DE">
      <w:pPr>
        <w:rPr>
          <w:b/>
        </w:rPr>
      </w:pPr>
      <w:r w:rsidRPr="00C221DE">
        <w:rPr>
          <w:b/>
        </w:rPr>
        <w:t>Pentru mai multe informații</w:t>
      </w:r>
    </w:p>
    <w:p w14:paraId="4273A8F4"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106" w:history="1">
        <w:r w:rsidR="000F0179" w:rsidRPr="00AE5EA7">
          <w:rPr>
            <w:rStyle w:val="Hyperlink"/>
            <w:rFonts w:cs="Arial"/>
            <w:color w:val="004494"/>
          </w:rPr>
          <w:t>Al doilea raport privind dependențele strategice</w:t>
        </w:r>
      </w:hyperlink>
    </w:p>
    <w:p w14:paraId="6A256E0E"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107" w:history="1">
        <w:r w:rsidR="000F0179" w:rsidRPr="00AE5EA7">
          <w:rPr>
            <w:rStyle w:val="Hyperlink"/>
            <w:rFonts w:cs="Arial"/>
            <w:color w:val="004494"/>
          </w:rPr>
          <w:t>Pagina informativă</w:t>
        </w:r>
      </w:hyperlink>
      <w:hyperlink r:id="rId108"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EN</w:t>
        </w:r>
        <w:r w:rsidR="000F0179" w:rsidRPr="00AE5EA7">
          <w:rPr>
            <w:rStyle w:val="Hyperlink"/>
            <w:b/>
            <w:bCs/>
            <w:color w:val="CCCCCC"/>
            <w:bdr w:val="single" w:sz="6" w:space="2" w:color="AAAAAA" w:frame="1"/>
            <w:shd w:val="clear" w:color="auto" w:fill="FFFFFF"/>
          </w:rPr>
          <w:t>•••</w:t>
        </w:r>
      </w:hyperlink>
      <w:r w:rsidR="000F0179" w:rsidRPr="00AE5EA7">
        <w:rPr>
          <w:rFonts w:ascii="Verdana" w:hAnsi="Verdana"/>
          <w:color w:val="404040"/>
          <w:sz w:val="18"/>
          <w:szCs w:val="18"/>
        </w:rPr>
        <w:t> privind bilanțurile aprofundate aferente dependențelor strategice</w:t>
      </w:r>
    </w:p>
    <w:p w14:paraId="38FC11FD"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109" w:history="1">
        <w:r w:rsidR="000F0179" w:rsidRPr="00AE5EA7">
          <w:rPr>
            <w:rStyle w:val="Hyperlink"/>
            <w:rFonts w:cs="Arial"/>
            <w:color w:val="004494"/>
          </w:rPr>
          <w:t>Strategia industrială actualizată din 2021</w:t>
        </w:r>
      </w:hyperlink>
      <w:hyperlink r:id="rId110"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RO</w:t>
        </w:r>
        <w:r w:rsidR="000F0179" w:rsidRPr="00AE5EA7">
          <w:rPr>
            <w:rStyle w:val="Hyperlink"/>
            <w:b/>
            <w:bCs/>
            <w:color w:val="CCCCCC"/>
            <w:bdr w:val="single" w:sz="6" w:space="2" w:color="AAAAAA" w:frame="1"/>
            <w:shd w:val="clear" w:color="auto" w:fill="FFFFFF"/>
          </w:rPr>
          <w:t>•••</w:t>
        </w:r>
      </w:hyperlink>
    </w:p>
    <w:p w14:paraId="394AD6E6"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Urmăriți </w:t>
      </w:r>
      <w:hyperlink r:id="rId111" w:history="1">
        <w:r w:rsidRPr="00AE5EA7">
          <w:rPr>
            <w:rStyle w:val="Hyperlink"/>
            <w:rFonts w:cs="Arial"/>
            <w:color w:val="004494"/>
          </w:rPr>
          <w:t>@EU_Commission</w:t>
        </w:r>
      </w:hyperlink>
      <w:r w:rsidRPr="00AE5EA7">
        <w:rPr>
          <w:rFonts w:ascii="Verdana" w:hAnsi="Verdana"/>
          <w:color w:val="404040"/>
          <w:sz w:val="18"/>
          <w:szCs w:val="18"/>
        </w:rPr>
        <w:t> și </w:t>
      </w:r>
      <w:hyperlink r:id="rId112" w:history="1">
        <w:r w:rsidRPr="00AE5EA7">
          <w:rPr>
            <w:rStyle w:val="Hyperlink"/>
            <w:rFonts w:cs="Arial"/>
            <w:color w:val="004494"/>
          </w:rPr>
          <w:t>@EU_Growth</w:t>
        </w:r>
      </w:hyperlink>
      <w:r w:rsidRPr="00AE5EA7">
        <w:rPr>
          <w:rFonts w:ascii="Verdana" w:hAnsi="Verdana"/>
          <w:color w:val="404040"/>
          <w:sz w:val="18"/>
          <w:szCs w:val="18"/>
        </w:rPr>
        <w:t> pe Twitter</w:t>
      </w:r>
    </w:p>
    <w:p w14:paraId="334D88CD" w14:textId="01CDF678" w:rsidR="000F0179" w:rsidRPr="00AE5EA7" w:rsidRDefault="000F0179" w:rsidP="00C221DE">
      <w:pPr>
        <w:pStyle w:val="separatorarticole"/>
      </w:pPr>
      <w:r w:rsidRPr="00AE5EA7">
        <w:t>*</w:t>
      </w:r>
    </w:p>
    <w:p w14:paraId="10D11845" w14:textId="77777777" w:rsidR="000F0179" w:rsidRPr="00AE5EA7" w:rsidRDefault="000F0179" w:rsidP="00C221DE">
      <w:pPr>
        <w:pStyle w:val="TitluArticolinINFOUE"/>
        <w:rPr>
          <w:lang w:eastAsia="ro-RO"/>
        </w:rPr>
      </w:pPr>
      <w:bookmarkStart w:id="163" w:name="_Toc96929086"/>
      <w:r w:rsidRPr="00AE5EA7">
        <w:t>Comisia stabilește o strategie de promovare a muncii decente la nivel mondial și pregătește un instrument pentru interzicerea produselor obținute prin muncă forțată</w:t>
      </w:r>
      <w:bookmarkEnd w:id="163"/>
    </w:p>
    <w:p w14:paraId="409CDB1E" w14:textId="77777777" w:rsidR="000F0179" w:rsidRPr="00AE5EA7" w:rsidRDefault="000F0179" w:rsidP="00AE5EA7">
      <w:pPr>
        <w:pStyle w:val="ecl-page-header-standardiseddescription"/>
        <w:spacing w:before="120" w:beforeAutospacing="0" w:after="0" w:afterAutospacing="0"/>
        <w:rPr>
          <w:rFonts w:ascii="Verdana" w:hAnsi="Verdana" w:cs="Arial"/>
          <w:color w:val="404040"/>
          <w:sz w:val="18"/>
          <w:szCs w:val="18"/>
        </w:rPr>
      </w:pPr>
      <w:r w:rsidRPr="00AE5EA7">
        <w:rPr>
          <w:rFonts w:ascii="Verdana" w:hAnsi="Verdana" w:cs="Arial"/>
          <w:color w:val="404040"/>
          <w:sz w:val="18"/>
          <w:szCs w:val="18"/>
        </w:rPr>
        <w:t>Astăzi, 23 februarie, Comisia își prezintă </w:t>
      </w:r>
      <w:hyperlink r:id="rId113" w:history="1">
        <w:r w:rsidRPr="00AE5EA7">
          <w:rPr>
            <w:rStyle w:val="Hyperlink"/>
            <w:rFonts w:cs="Arial"/>
            <w:color w:val="004494"/>
          </w:rPr>
          <w:t>Comunicarea privind munca decentă la nivel mondial</w:t>
        </w:r>
      </w:hyperlink>
      <w:r w:rsidRPr="00AE5EA7">
        <w:rPr>
          <w:rFonts w:ascii="Verdana" w:hAnsi="Verdana" w:cs="Arial"/>
          <w:color w:val="404040"/>
          <w:sz w:val="18"/>
          <w:szCs w:val="18"/>
        </w:rPr>
        <w:t>.</w:t>
      </w:r>
    </w:p>
    <w:p w14:paraId="73769725" w14:textId="43050055" w:rsidR="000F0179" w:rsidRPr="00AE5EA7" w:rsidRDefault="00C221DE" w:rsidP="00AE5EA7">
      <w:pPr>
        <w:pStyle w:val="NormalWeb"/>
        <w:spacing w:before="120" w:beforeAutospacing="0" w:after="0" w:afterAutospacing="0"/>
        <w:rPr>
          <w:rFonts w:ascii="Verdana" w:hAnsi="Verdana"/>
          <w:color w:val="404040"/>
          <w:sz w:val="18"/>
          <w:szCs w:val="18"/>
        </w:rPr>
      </w:pPr>
      <w:r w:rsidRPr="00AE5EA7">
        <w:rPr>
          <w:rFonts w:ascii="Verdana" w:hAnsi="Verdana"/>
          <w:noProof/>
          <w:sz w:val="18"/>
          <w:szCs w:val="18"/>
          <w:lang w:val="ro-RO" w:eastAsia="ro-RO"/>
        </w:rPr>
        <w:drawing>
          <wp:anchor distT="0" distB="0" distL="114300" distR="114300" simplePos="0" relativeHeight="252019712" behindDoc="0" locked="0" layoutInCell="1" allowOverlap="1" wp14:anchorId="0F049188" wp14:editId="17956C58">
            <wp:simplePos x="0" y="0"/>
            <wp:positionH relativeFrom="column">
              <wp:posOffset>-481</wp:posOffset>
            </wp:positionH>
            <wp:positionV relativeFrom="paragraph">
              <wp:posOffset>563</wp:posOffset>
            </wp:positionV>
            <wp:extent cx="1932316" cy="1292760"/>
            <wp:effectExtent l="0" t="0" r="0" b="3175"/>
            <wp:wrapSquare wrapText="bothSides"/>
            <wp:docPr id="42" name="Picture 42" descr="MuncaDec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ncaDecenta"/>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932316" cy="1292760"/>
                    </a:xfrm>
                    <a:prstGeom prst="rect">
                      <a:avLst/>
                    </a:prstGeom>
                    <a:noFill/>
                    <a:ln>
                      <a:noFill/>
                    </a:ln>
                  </pic:spPr>
                </pic:pic>
              </a:graphicData>
            </a:graphic>
          </wp:anchor>
        </w:drawing>
      </w:r>
      <w:r w:rsidR="000F0179" w:rsidRPr="00AE5EA7">
        <w:rPr>
          <w:rFonts w:ascii="Verdana" w:hAnsi="Verdana"/>
          <w:color w:val="404040"/>
          <w:sz w:val="18"/>
          <w:szCs w:val="18"/>
        </w:rPr>
        <w:t>Astăzi, 23 februarie, Comisia își prezintă </w:t>
      </w:r>
      <w:hyperlink r:id="rId115" w:history="1">
        <w:r w:rsidR="000F0179" w:rsidRPr="00AE5EA7">
          <w:rPr>
            <w:rStyle w:val="Hyperlink"/>
            <w:rFonts w:cs="Arial"/>
            <w:color w:val="004494"/>
          </w:rPr>
          <w:t>Comunicarea privind munca decentă la nivel mondial</w:t>
        </w:r>
      </w:hyperlink>
      <w:r w:rsidR="000F0179" w:rsidRPr="00AE5EA7">
        <w:rPr>
          <w:rFonts w:ascii="Verdana" w:hAnsi="Verdana"/>
          <w:color w:val="404040"/>
          <w:sz w:val="18"/>
          <w:szCs w:val="18"/>
        </w:rPr>
        <w:t>, care reafirmă angajamentul UE de a promova munca decentă atât pe plan intern, cât și în întreaga lume. Eliminarea muncii copiilor și a muncii forțate se află în centrul acestui efort.</w:t>
      </w:r>
    </w:p>
    <w:p w14:paraId="279162D3"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Cele mai recente cifre arată că munca decentă nu este, deocamdată, o realitate pentru multe persoane din întreaga lume și că mai sunt încă multe de făcut: 160 de milioane de copii – unul din zece la nivel mondial – sunt victime ale muncii copiilor, iar 25 de milioane de persoane se află într-o situație de muncă forțată.</w:t>
      </w:r>
    </w:p>
    <w:p w14:paraId="0F890036"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UE promovează munca decentă în toate sectoarele și domeniile de politică, în conformitate cu o abordare cuprinzătoare care vizează lucrătorii de pe piețele interne, din țările terțe și din lanțurile de aprovizionare globale. Comunicarea adoptată astăzi stabilește politicile interne și externe pe care UE le utilizează pentru a pune în aplicare munca decentă la nivel mondial, plasând acest obiectiv în centrul unei redresări favorabile incluziunii, durabile și reziliente în urma pandemiei.</w:t>
      </w:r>
    </w:p>
    <w:p w14:paraId="15D9DD01"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Ca parte a acestei abordări cuprinzătoare, Comisia pregătește un nou instrument legislativ pentru a interzice efectiv intrarea pe piața UE a produselor obținute prin muncă forțată, astfel cum a anunțat președinta </w:t>
      </w:r>
      <w:r w:rsidRPr="00AE5EA7">
        <w:rPr>
          <w:rStyle w:val="Strong"/>
          <w:color w:val="404040"/>
        </w:rPr>
        <w:t>von der Leyen</w:t>
      </w:r>
      <w:r w:rsidRPr="00AE5EA7">
        <w:rPr>
          <w:rFonts w:ascii="Verdana" w:hAnsi="Verdana"/>
          <w:color w:val="404040"/>
          <w:sz w:val="18"/>
          <w:szCs w:val="18"/>
        </w:rPr>
        <w:t> în </w:t>
      </w:r>
      <w:hyperlink r:id="rId116" w:history="1">
        <w:r w:rsidRPr="00AE5EA7">
          <w:rPr>
            <w:rStyle w:val="Hyperlink"/>
            <w:rFonts w:cs="Arial"/>
            <w:color w:val="004494"/>
          </w:rPr>
          <w:t>discursul său privind starea Uniunii</w:t>
        </w:r>
      </w:hyperlink>
      <w:hyperlink r:id="rId117"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din 2021. Acest instrument va acoperi bunurile produse în interiorul și în afara UE, combinând o interdicție cu un cadru solid de asigurare a respectării normelor. Instrumentul se va baza pe standardele internaționale și va completa inițiativele orizontale și sectoriale existente ale UE, în special obligațiile privind diligența necesară și transparența.</w:t>
      </w:r>
    </w:p>
    <w:p w14:paraId="62002A7B"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Munca decentă: UE ca lider responsabil la nivel mondial</w:t>
      </w:r>
    </w:p>
    <w:p w14:paraId="3B6A9696"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UE a luat deja măsuri ferme pentru a promova munca decentă la nivel mondial, contribuind la îmbunătățirea vieții oamenilor din întreaga lume. În ultimele decenii s-a înregistrat, de asemenea, o reducere semnificativă la nivel mondial a numărului de copii exploatați prin muncă (de la 245,5 milioane în 2000 la 151,6 milioane în 2016). Cu toate acestea, numărul copiilor exploatați prin muncă a crescut cu peste 8 milioane între 2016 și 2020, inversând tendința pozitivă anterioară. În același timp, pandemia mondială de COVID-19 și transformările din lumea muncii, inclusiv ca urmare a progreselor tehnologice, a crizei climatice, a schimbărilor demografice și a globalizării, pot avea un impact asupra standardelor de muncă și asupra protecției lucrătorilor.</w:t>
      </w:r>
    </w:p>
    <w:p w14:paraId="031FD389"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 acest context, UE se angajează să consolideze angajamentul său existent și să își extindă rolul de lider responsabil în lumea muncii, utilizând toate instrumentele disponibile și dezvoltându-le în continuare. Consumatorii solicită din ce în ce mai mult bunuri care sunt produse într-un mod durabil și echitabil și care asigură locuri de muncă decente pentru cei care le produc. Astfel cum s-a reflectat în dezbaterile din cadrul Conferinței privind viitorul Europei, cetățenii europeni se așteaptă ca UE să își asume un rol de lider în promovarea celor mai înalte standarde în întreaga lume.</w:t>
      </w:r>
    </w:p>
    <w:p w14:paraId="7702D67A"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UE își va intensifica acțiunile, orientându-se în funcție de cele patru elemente ale </w:t>
      </w:r>
      <w:hyperlink r:id="rId118" w:history="1">
        <w:r w:rsidRPr="00AE5EA7">
          <w:rPr>
            <w:rStyle w:val="Hyperlink"/>
            <w:rFonts w:cs="Arial"/>
            <w:color w:val="004494"/>
          </w:rPr>
          <w:t>conceptului universal de muncă decentă</w:t>
        </w:r>
      </w:hyperlink>
      <w:r w:rsidRPr="00AE5EA7">
        <w:rPr>
          <w:rFonts w:ascii="Verdana" w:hAnsi="Verdana"/>
          <w:color w:val="404040"/>
          <w:sz w:val="18"/>
          <w:szCs w:val="18"/>
        </w:rPr>
        <w:t>, astfel cum a fost elaborat de Organizația Internațională a Muncii (OIM) și reflectat în obiectivele de dezvoltare durabilă ale Organizației Națiunilor Unite (ONU). Printre aceste elemente se numără: (1) promovarea ocupării forței de muncă; (2) standardele și drepturile la locul de muncă, inclusiv eliminarea muncii forțate și a muncii copiilor; (3) protecția socială; (4) dialogul social și guvernanța tripartită. Egalitatea de gen și nediscriminarea sunt aspecte transversale ale acestor obiective.</w:t>
      </w:r>
    </w:p>
    <w:p w14:paraId="42EB10DD"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lastRenderedPageBreak/>
        <w:t>Instrumente esențiale pentru munca decentă la nivel mondial</w:t>
      </w:r>
    </w:p>
    <w:p w14:paraId="4EF2D982"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Comunicarea stabilește instrumentele viitoare și existente ale UE în patru domenii:</w:t>
      </w:r>
    </w:p>
    <w:p w14:paraId="558F274B" w14:textId="77777777" w:rsidR="000F0179" w:rsidRPr="00AE5EA7" w:rsidRDefault="000F0179" w:rsidP="00AE5EA7">
      <w:pPr>
        <w:numPr>
          <w:ilvl w:val="0"/>
          <w:numId w:val="32"/>
        </w:numPr>
        <w:ind w:left="0" w:firstLine="0"/>
        <w:rPr>
          <w:color w:val="404040"/>
          <w:szCs w:val="18"/>
        </w:rPr>
      </w:pPr>
      <w:r w:rsidRPr="00AE5EA7">
        <w:rPr>
          <w:rStyle w:val="Strong"/>
          <w:color w:val="404040"/>
        </w:rPr>
        <w:t>Politicile și inițiativele UE cu impact dincolo de granițele UE</w:t>
      </w:r>
      <w:r w:rsidRPr="00AE5EA7">
        <w:rPr>
          <w:color w:val="404040"/>
          <w:szCs w:val="18"/>
        </w:rPr>
        <w:t>. Printre instrumentele esențiale de acest tip se numără:</w:t>
      </w:r>
    </w:p>
    <w:p w14:paraId="6FE344A1" w14:textId="77777777" w:rsidR="000F0179" w:rsidRPr="00AE5EA7" w:rsidRDefault="000F0179" w:rsidP="00AE5EA7">
      <w:pPr>
        <w:numPr>
          <w:ilvl w:val="1"/>
          <w:numId w:val="32"/>
        </w:numPr>
        <w:ind w:left="0" w:firstLine="0"/>
        <w:rPr>
          <w:color w:val="404040"/>
          <w:szCs w:val="18"/>
        </w:rPr>
      </w:pPr>
      <w:r w:rsidRPr="00AE5EA7">
        <w:rPr>
          <w:color w:val="404040"/>
          <w:szCs w:val="18"/>
        </w:rPr>
        <w:t>Politicile UE care stabilesc standarde deschizătoare de drumuri la nivel mondial în ceea ce privește responsabilitatea și transparența întreprinderilor, cum ar fi propunerea de directivă privind diligența necesară în materie de durabilitate a întreprinderilor și viitoarea propunere legislativă privind munca forțată.</w:t>
      </w:r>
    </w:p>
    <w:p w14:paraId="7CCCD343" w14:textId="77777777" w:rsidR="000F0179" w:rsidRPr="00AE5EA7" w:rsidRDefault="000F0179" w:rsidP="00AE5EA7">
      <w:pPr>
        <w:numPr>
          <w:ilvl w:val="1"/>
          <w:numId w:val="32"/>
        </w:numPr>
        <w:ind w:left="0" w:firstLine="0"/>
        <w:rPr>
          <w:color w:val="404040"/>
          <w:szCs w:val="18"/>
        </w:rPr>
      </w:pPr>
      <w:r w:rsidRPr="00AE5EA7">
        <w:rPr>
          <w:color w:val="404040"/>
          <w:szCs w:val="18"/>
        </w:rPr>
        <w:t>Orientările și dispozițiile juridice ale UE privind achizițiile publice durabile din punct de vedere social vor ajuta sectorul public să conducă prin puterea exemplului.</w:t>
      </w:r>
    </w:p>
    <w:p w14:paraId="58D1BE6E" w14:textId="77777777" w:rsidR="000F0179" w:rsidRPr="00AE5EA7" w:rsidRDefault="000F0179" w:rsidP="00AE5EA7">
      <w:pPr>
        <w:numPr>
          <w:ilvl w:val="1"/>
          <w:numId w:val="32"/>
        </w:numPr>
        <w:ind w:left="0" w:firstLine="0"/>
        <w:rPr>
          <w:color w:val="404040"/>
          <w:szCs w:val="18"/>
        </w:rPr>
      </w:pPr>
      <w:r w:rsidRPr="00AE5EA7">
        <w:rPr>
          <w:color w:val="404040"/>
          <w:szCs w:val="18"/>
        </w:rPr>
        <w:t>Politicile sectoriale ale UE, de exemplu cele privind alimentele, mineralele și textilele, consolidează respectarea standardelor internaționale în domeniul muncii.</w:t>
      </w:r>
    </w:p>
    <w:p w14:paraId="01835D01" w14:textId="77777777" w:rsidR="000F0179" w:rsidRPr="00AE5EA7" w:rsidRDefault="000F0179" w:rsidP="00AE5EA7">
      <w:pPr>
        <w:numPr>
          <w:ilvl w:val="0"/>
          <w:numId w:val="32"/>
        </w:numPr>
        <w:ind w:left="0" w:firstLine="0"/>
        <w:rPr>
          <w:color w:val="404040"/>
          <w:szCs w:val="18"/>
        </w:rPr>
      </w:pPr>
      <w:r w:rsidRPr="00AE5EA7">
        <w:rPr>
          <w:rStyle w:val="Strong"/>
          <w:color w:val="404040"/>
        </w:rPr>
        <w:t>Relațiile bilaterale și regionale ale UE</w:t>
      </w:r>
      <w:r w:rsidRPr="00AE5EA7">
        <w:rPr>
          <w:color w:val="404040"/>
          <w:szCs w:val="18"/>
        </w:rPr>
        <w:t>: Printre instrumentele esențiale de acest tip se numără:</w:t>
      </w:r>
    </w:p>
    <w:p w14:paraId="27939714" w14:textId="77777777" w:rsidR="000F0179" w:rsidRPr="00AE5EA7" w:rsidRDefault="000F0179" w:rsidP="00AE5EA7">
      <w:pPr>
        <w:numPr>
          <w:ilvl w:val="1"/>
          <w:numId w:val="32"/>
        </w:numPr>
        <w:ind w:left="0" w:firstLine="0"/>
        <w:rPr>
          <w:color w:val="404040"/>
          <w:szCs w:val="18"/>
        </w:rPr>
      </w:pPr>
      <w:r w:rsidRPr="00AE5EA7">
        <w:rPr>
          <w:color w:val="404040"/>
          <w:szCs w:val="18"/>
        </w:rPr>
        <w:t>Politica comercială a UE, care promovează standardele internaționale în domeniul muncii.</w:t>
      </w:r>
    </w:p>
    <w:p w14:paraId="64179815" w14:textId="77777777" w:rsidR="000F0179" w:rsidRPr="00AE5EA7" w:rsidRDefault="000F0179" w:rsidP="00AE5EA7">
      <w:pPr>
        <w:numPr>
          <w:ilvl w:val="1"/>
          <w:numId w:val="32"/>
        </w:numPr>
        <w:ind w:left="0" w:firstLine="0"/>
        <w:rPr>
          <w:color w:val="404040"/>
          <w:szCs w:val="18"/>
        </w:rPr>
      </w:pPr>
      <w:r w:rsidRPr="00AE5EA7">
        <w:rPr>
          <w:color w:val="404040"/>
          <w:szCs w:val="18"/>
        </w:rPr>
        <w:t>Respectarea drepturilor lucrătorilor în țările terțe este o parte esențială a politicilor UE în domeniul drepturilor omului.</w:t>
      </w:r>
    </w:p>
    <w:p w14:paraId="78323D59" w14:textId="77777777" w:rsidR="000F0179" w:rsidRPr="00AE5EA7" w:rsidRDefault="000F0179" w:rsidP="00AE5EA7">
      <w:pPr>
        <w:numPr>
          <w:ilvl w:val="1"/>
          <w:numId w:val="32"/>
        </w:numPr>
        <w:ind w:left="0" w:firstLine="0"/>
        <w:rPr>
          <w:color w:val="404040"/>
          <w:szCs w:val="18"/>
        </w:rPr>
      </w:pPr>
      <w:r w:rsidRPr="00AE5EA7">
        <w:rPr>
          <w:color w:val="404040"/>
          <w:szCs w:val="18"/>
        </w:rPr>
        <w:t>Politica UE de extindere și de vecinătate, care promovează munca decentă în țările învecinate.</w:t>
      </w:r>
    </w:p>
    <w:p w14:paraId="3A686E14" w14:textId="77777777" w:rsidR="000F0179" w:rsidRPr="00AE5EA7" w:rsidRDefault="000F0179" w:rsidP="00AE5EA7">
      <w:pPr>
        <w:numPr>
          <w:ilvl w:val="0"/>
          <w:numId w:val="32"/>
        </w:numPr>
        <w:ind w:left="0" w:firstLine="0"/>
        <w:rPr>
          <w:color w:val="404040"/>
          <w:szCs w:val="18"/>
        </w:rPr>
      </w:pPr>
      <w:r w:rsidRPr="00AE5EA7">
        <w:rPr>
          <w:rStyle w:val="Strong"/>
          <w:color w:val="404040"/>
        </w:rPr>
        <w:t>UE în forurile internaționale și multilaterale</w:t>
      </w:r>
      <w:r w:rsidRPr="00AE5EA7">
        <w:rPr>
          <w:color w:val="404040"/>
          <w:szCs w:val="18"/>
        </w:rPr>
        <w:t>: Printre instrumentele esențiale de acest tip se numără:</w:t>
      </w:r>
    </w:p>
    <w:p w14:paraId="5353BAB9" w14:textId="77777777" w:rsidR="000F0179" w:rsidRPr="00AE5EA7" w:rsidRDefault="000F0179" w:rsidP="00AE5EA7">
      <w:pPr>
        <w:numPr>
          <w:ilvl w:val="1"/>
          <w:numId w:val="32"/>
        </w:numPr>
        <w:ind w:left="0" w:firstLine="0"/>
        <w:rPr>
          <w:color w:val="404040"/>
          <w:szCs w:val="18"/>
        </w:rPr>
      </w:pPr>
      <w:r w:rsidRPr="00AE5EA7">
        <w:rPr>
          <w:color w:val="404040"/>
          <w:szCs w:val="18"/>
        </w:rPr>
        <w:t>Sprijinul UE pentru punerea în aplicare a instrumentelor ONU privind munca decentă și contribuția activă a UE la stabilirea standardelor de muncă prin intermediul OIM.</w:t>
      </w:r>
    </w:p>
    <w:p w14:paraId="4E2F33A8" w14:textId="77777777" w:rsidR="000F0179" w:rsidRPr="00AE5EA7" w:rsidRDefault="000F0179" w:rsidP="00AE5EA7">
      <w:pPr>
        <w:numPr>
          <w:ilvl w:val="1"/>
          <w:numId w:val="32"/>
        </w:numPr>
        <w:ind w:left="0" w:firstLine="0"/>
        <w:rPr>
          <w:color w:val="404040"/>
          <w:szCs w:val="18"/>
        </w:rPr>
      </w:pPr>
      <w:r w:rsidRPr="00AE5EA7">
        <w:rPr>
          <w:color w:val="404040"/>
          <w:szCs w:val="18"/>
        </w:rPr>
        <w:t>Sprijinul UE pentru reformarea Organizației Mondiale a Comerțului (OMC) în vederea integrării dimensiunii sociale a globalizării.</w:t>
      </w:r>
    </w:p>
    <w:p w14:paraId="03DD95D1" w14:textId="77777777" w:rsidR="000F0179" w:rsidRPr="00AE5EA7" w:rsidRDefault="000F0179" w:rsidP="00AE5EA7">
      <w:pPr>
        <w:numPr>
          <w:ilvl w:val="1"/>
          <w:numId w:val="32"/>
        </w:numPr>
        <w:ind w:left="0" w:firstLine="0"/>
        <w:rPr>
          <w:color w:val="404040"/>
          <w:szCs w:val="18"/>
        </w:rPr>
      </w:pPr>
      <w:r w:rsidRPr="00AE5EA7">
        <w:rPr>
          <w:color w:val="404040"/>
          <w:szCs w:val="18"/>
        </w:rPr>
        <w:t>În formatele G20 și G7, UE cooperează cu alte puteri economice mondiale pentru a promova munca decentă.</w:t>
      </w:r>
    </w:p>
    <w:p w14:paraId="66C927F9" w14:textId="77777777" w:rsidR="000F0179" w:rsidRPr="00AE5EA7" w:rsidRDefault="000F0179" w:rsidP="00AE5EA7">
      <w:pPr>
        <w:numPr>
          <w:ilvl w:val="0"/>
          <w:numId w:val="32"/>
        </w:numPr>
        <w:ind w:left="0" w:firstLine="0"/>
        <w:rPr>
          <w:color w:val="404040"/>
          <w:szCs w:val="18"/>
        </w:rPr>
      </w:pPr>
      <w:r w:rsidRPr="00AE5EA7">
        <w:rPr>
          <w:rStyle w:val="Strong"/>
          <w:color w:val="404040"/>
        </w:rPr>
        <w:t>Colaborarea cu părțile interesate și în cadrul parteneriatelor globale</w:t>
      </w:r>
      <w:r w:rsidRPr="00AE5EA7">
        <w:rPr>
          <w:color w:val="404040"/>
          <w:szCs w:val="18"/>
        </w:rPr>
        <w:t>: Printre instrumentele esențiale de acest tip se numără:</w:t>
      </w:r>
    </w:p>
    <w:p w14:paraId="4E0F6C60" w14:textId="77777777" w:rsidR="000F0179" w:rsidRPr="00AE5EA7" w:rsidRDefault="000F0179" w:rsidP="00AE5EA7">
      <w:pPr>
        <w:numPr>
          <w:ilvl w:val="1"/>
          <w:numId w:val="32"/>
        </w:numPr>
        <w:ind w:left="0" w:firstLine="0"/>
        <w:rPr>
          <w:color w:val="404040"/>
          <w:szCs w:val="18"/>
        </w:rPr>
      </w:pPr>
      <w:r w:rsidRPr="00AE5EA7">
        <w:rPr>
          <w:color w:val="404040"/>
          <w:szCs w:val="18"/>
        </w:rPr>
        <w:t>Sprijinul UE pentru partenerii sociali cu scopul de a asigura respectarea drepturilor lucrătorilor în cadrul lanțurilor de aprovizionare.</w:t>
      </w:r>
    </w:p>
    <w:p w14:paraId="40BD6E73" w14:textId="77777777" w:rsidR="000F0179" w:rsidRPr="00AE5EA7" w:rsidRDefault="000F0179" w:rsidP="00AE5EA7">
      <w:pPr>
        <w:numPr>
          <w:ilvl w:val="1"/>
          <w:numId w:val="32"/>
        </w:numPr>
        <w:ind w:left="0" w:firstLine="0"/>
        <w:rPr>
          <w:color w:val="404040"/>
          <w:szCs w:val="18"/>
        </w:rPr>
      </w:pPr>
      <w:r w:rsidRPr="00AE5EA7">
        <w:rPr>
          <w:color w:val="404040"/>
          <w:szCs w:val="18"/>
        </w:rPr>
        <w:t>Colaborarea UE cu actorii societății civile în vederea promovării unor medii sigure și propice pentru societatea civilă.</w:t>
      </w:r>
    </w:p>
    <w:p w14:paraId="3E4307DF" w14:textId="77777777" w:rsidR="000F0179" w:rsidRPr="00AE5EA7" w:rsidRDefault="000F0179" w:rsidP="00AE5EA7">
      <w:pPr>
        <w:numPr>
          <w:ilvl w:val="1"/>
          <w:numId w:val="32"/>
        </w:numPr>
        <w:ind w:left="0" w:firstLine="0"/>
        <w:rPr>
          <w:color w:val="404040"/>
          <w:szCs w:val="18"/>
        </w:rPr>
      </w:pPr>
      <w:r w:rsidRPr="00AE5EA7">
        <w:rPr>
          <w:color w:val="404040"/>
          <w:szCs w:val="18"/>
        </w:rPr>
        <w:t>Sprijinul UE pentru parteneriate globale și inițiative multipartite privind munca decentă, în domenii precum securitatea și sănătatea în muncă.</w:t>
      </w:r>
    </w:p>
    <w:p w14:paraId="2C91C48A"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Ca parte a „pachetului ei privind o economie justă și durabilă”, Comisia prezintă astăzi și o propunere de Directivă privind diligența necesară în materie de durabilitate a întreprinderilor. Propunerea urmărește să promoveze un comportament durabil și responsabil al întreprinderilor în cadrul lanțurilor valorice globale.</w:t>
      </w:r>
    </w:p>
    <w:p w14:paraId="6F2DA365"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Declarațiile membrilor colegiului</w:t>
      </w:r>
    </w:p>
    <w:p w14:paraId="44E23B8C"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Președinta Ursula </w:t>
      </w:r>
      <w:r w:rsidRPr="00AE5EA7">
        <w:rPr>
          <w:rStyle w:val="Strong"/>
          <w:color w:val="404040"/>
        </w:rPr>
        <w:t>von der Leyen</w:t>
      </w:r>
      <w:r w:rsidRPr="00AE5EA7">
        <w:rPr>
          <w:rFonts w:ascii="Verdana" w:hAnsi="Verdana"/>
          <w:color w:val="404040"/>
          <w:sz w:val="18"/>
          <w:szCs w:val="18"/>
        </w:rPr>
        <w:t> a declarat: </w:t>
      </w:r>
      <w:r w:rsidRPr="00AE5EA7">
        <w:rPr>
          <w:rStyle w:val="Emphasis"/>
          <w:color w:val="404040"/>
        </w:rPr>
        <w:t>„Europa transmite un semnal puternic că activitățile economice nu pot să se înfăptuiască niciodată cu prețul demnității și al libertății oamenilor. Nu dorim ca pe rafturile magazinelor noastre din Europa să existe bunuri produse de oameni exploatați prin muncă forțată. Acesta este motivul pentru care lucrăm la interzicerea bunurilor obținute prin muncă forțată.”</w:t>
      </w:r>
    </w:p>
    <w:p w14:paraId="36134C64"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lastRenderedPageBreak/>
        <w:t>Valdis </w:t>
      </w:r>
      <w:r w:rsidRPr="00AE5EA7">
        <w:rPr>
          <w:rStyle w:val="Strong"/>
          <w:color w:val="404040"/>
        </w:rPr>
        <w:t>Dombrovskis</w:t>
      </w:r>
      <w:r w:rsidRPr="00AE5EA7">
        <w:rPr>
          <w:rFonts w:ascii="Verdana" w:hAnsi="Verdana"/>
          <w:color w:val="404040"/>
          <w:sz w:val="18"/>
          <w:szCs w:val="18"/>
        </w:rPr>
        <w:t>, vicepreședinte executiv pentru o economie în serviciul cetățenilor, a declarat: „</w:t>
      </w:r>
      <w:r w:rsidRPr="00AE5EA7">
        <w:rPr>
          <w:rStyle w:val="Emphasis"/>
          <w:color w:val="404040"/>
        </w:rPr>
        <w:t>Economia UE este conectată la milioane de lucrători din întreaga lume prin intermediul lanțurilor de aprovizionare globale. Munca decentă este în interesul lucrătorilor, al întreprinderilor și al consumatorilor de pretutindeni: cu toții au dreptul la condiții echitabile și adecvate. Nu se acceptă reducerea standardelor de bază în domeniul muncii ca mijloc de a obține un avantaj competitiv. Vom continua să promovăm standarde de muncă decente la nivel mondial, asigurându-ne că dialogul social are un rol esențial și lucrând în același timp la redresare echitabilă și puternică.</w:t>
      </w:r>
      <w:r w:rsidRPr="00AE5EA7">
        <w:rPr>
          <w:rFonts w:ascii="Verdana" w:hAnsi="Verdana"/>
          <w:color w:val="404040"/>
          <w:sz w:val="18"/>
          <w:szCs w:val="18"/>
        </w:rPr>
        <w:t>”</w:t>
      </w:r>
    </w:p>
    <w:p w14:paraId="1D666CB3"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Comisarul pentru locuri de muncă și drepturi sociale, Nicolas </w:t>
      </w:r>
      <w:r w:rsidRPr="00AE5EA7">
        <w:rPr>
          <w:rStyle w:val="Strong"/>
          <w:color w:val="404040"/>
        </w:rPr>
        <w:t>Schmit</w:t>
      </w:r>
      <w:r w:rsidRPr="00AE5EA7">
        <w:rPr>
          <w:rFonts w:ascii="Verdana" w:hAnsi="Verdana"/>
          <w:color w:val="404040"/>
          <w:sz w:val="18"/>
          <w:szCs w:val="18"/>
        </w:rPr>
        <w:t>, a declarat: „</w:t>
      </w:r>
      <w:r w:rsidRPr="00AE5EA7">
        <w:rPr>
          <w:rStyle w:val="Emphasis"/>
          <w:color w:val="404040"/>
        </w:rPr>
        <w:t>Munca decentă este fundamentul unei vieți decente. Mulți lucrători din întreaga lume își văd în continuare drepturile sociale și de muncă amenințate zilnic. UE va continua să joace un rol de lider în a promova munca decentă, care pune oamenii pe primul plan, și în a asigura că drepturile și demnitatea oamenilor sunt respectate.</w:t>
      </w:r>
      <w:r w:rsidRPr="00AE5EA7">
        <w:rPr>
          <w:rFonts w:ascii="Verdana" w:hAnsi="Verdana"/>
          <w:color w:val="404040"/>
          <w:sz w:val="18"/>
          <w:szCs w:val="18"/>
        </w:rPr>
        <w:t>”</w:t>
      </w:r>
    </w:p>
    <w:p w14:paraId="7D64D6BB"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Etapele următoare</w:t>
      </w:r>
    </w:p>
    <w:p w14:paraId="208EBD9F"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Comisia invită Parlamentul European și Consiliul să aprobe abordarea stabilită în această comunicare și să colaboreze pentru punerea în aplicare a acțiunilor sale. Comisia va raporta periodic cu privire la punerea în aplicare a acestei comunicări.</w:t>
      </w:r>
    </w:p>
    <w:p w14:paraId="02AD97A4" w14:textId="77777777" w:rsidR="00A2705C" w:rsidRDefault="00A2705C" w:rsidP="00AE5EA7">
      <w:pPr>
        <w:pStyle w:val="NormalWeb"/>
        <w:spacing w:before="120" w:beforeAutospacing="0" w:after="0" w:afterAutospacing="0"/>
        <w:rPr>
          <w:rStyle w:val="Strong"/>
          <w:color w:val="404040"/>
        </w:rPr>
      </w:pPr>
    </w:p>
    <w:p w14:paraId="1F0D2FA4"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Context</w:t>
      </w:r>
    </w:p>
    <w:p w14:paraId="57E966DE" w14:textId="77777777" w:rsidR="000F0179" w:rsidRPr="00AE5EA7" w:rsidRDefault="000F0179" w:rsidP="00CA4643">
      <w:pPr>
        <w:pStyle w:val="NormalWeb"/>
        <w:spacing w:before="0" w:beforeAutospacing="0" w:after="0" w:afterAutospacing="0"/>
        <w:rPr>
          <w:rFonts w:ascii="Verdana" w:hAnsi="Verdana"/>
          <w:color w:val="404040"/>
          <w:sz w:val="18"/>
          <w:szCs w:val="18"/>
        </w:rPr>
      </w:pPr>
      <w:r w:rsidRPr="00AE5EA7">
        <w:rPr>
          <w:rFonts w:ascii="Verdana" w:hAnsi="Verdana"/>
          <w:color w:val="404040"/>
          <w:sz w:val="18"/>
          <w:szCs w:val="18"/>
        </w:rPr>
        <w:t>Președinta </w:t>
      </w:r>
      <w:r w:rsidRPr="00AE5EA7">
        <w:rPr>
          <w:rStyle w:val="Strong"/>
          <w:color w:val="404040"/>
        </w:rPr>
        <w:t>von der Leyen</w:t>
      </w:r>
      <w:r w:rsidRPr="00AE5EA7">
        <w:rPr>
          <w:rFonts w:ascii="Verdana" w:hAnsi="Verdana"/>
          <w:color w:val="404040"/>
          <w:sz w:val="18"/>
          <w:szCs w:val="18"/>
        </w:rPr>
        <w:t> a subliniat politica de toleranță zero a Comisiei față de munca copiilor în </w:t>
      </w:r>
      <w:hyperlink r:id="rId119" w:history="1">
        <w:r w:rsidRPr="00AE5EA7">
          <w:rPr>
            <w:rStyle w:val="Hyperlink"/>
            <w:rFonts w:cs="Arial"/>
            <w:color w:val="004494"/>
          </w:rPr>
          <w:t>orientările sale politice</w:t>
        </w:r>
      </w:hyperlink>
      <w:r w:rsidRPr="00AE5EA7">
        <w:rPr>
          <w:rFonts w:ascii="Verdana" w:hAnsi="Verdana"/>
          <w:color w:val="404040"/>
          <w:sz w:val="18"/>
          <w:szCs w:val="18"/>
        </w:rPr>
        <w:t>. În </w:t>
      </w:r>
      <w:hyperlink r:id="rId120" w:history="1">
        <w:r w:rsidRPr="00AE5EA7">
          <w:rPr>
            <w:rStyle w:val="Hyperlink"/>
            <w:rFonts w:cs="Arial"/>
            <w:color w:val="004494"/>
          </w:rPr>
          <w:t>discursul său privind starea Uniunii</w:t>
        </w:r>
      </w:hyperlink>
      <w:hyperlink r:id="rId121"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din 2021, ea a subliniat că activitățile economice și comerțul mondial „nu pot să se înfăptuiască niciodată cu prețul demnității și al libertății oamenilor” și că „drepturile omului nu sunt de vânzare”.</w:t>
      </w:r>
    </w:p>
    <w:p w14:paraId="301C26A5" w14:textId="77777777" w:rsidR="000F0179" w:rsidRPr="00AE5EA7" w:rsidRDefault="0079598A" w:rsidP="00CA4643">
      <w:pPr>
        <w:pStyle w:val="NormalWeb"/>
        <w:spacing w:before="0" w:beforeAutospacing="0" w:after="0" w:afterAutospacing="0"/>
        <w:rPr>
          <w:rFonts w:ascii="Verdana" w:hAnsi="Verdana"/>
          <w:color w:val="404040"/>
          <w:sz w:val="18"/>
          <w:szCs w:val="18"/>
        </w:rPr>
      </w:pPr>
      <w:hyperlink r:id="rId122" w:history="1">
        <w:r w:rsidR="000F0179" w:rsidRPr="00AE5EA7">
          <w:rPr>
            <w:rStyle w:val="Hyperlink"/>
            <w:rFonts w:cs="Arial"/>
            <w:color w:val="004494"/>
          </w:rPr>
          <w:t>Planul de acțiune privind Pilonul european al drepturilor sociale</w:t>
        </w:r>
      </w:hyperlink>
      <w:r w:rsidR="000F0179" w:rsidRPr="00AE5EA7">
        <w:rPr>
          <w:rFonts w:ascii="Verdana" w:hAnsi="Verdana"/>
          <w:color w:val="404040"/>
          <w:sz w:val="18"/>
          <w:szCs w:val="18"/>
        </w:rPr>
        <w:t> a anunțat o „Comunicare privind munca decentă la nivel mondial” pentru a oferi o imagine de ansamblu cuprinzătoare asupra instrumentelor relevante ale UE și a concepe un proiect de strategie a UE referitoare la promovarea dimensiunii sociale în acțiunile internaționale.</w:t>
      </w:r>
    </w:p>
    <w:p w14:paraId="4303532B" w14:textId="77777777" w:rsidR="000F0179" w:rsidRPr="00AE5EA7" w:rsidRDefault="000F0179" w:rsidP="00CA4643">
      <w:pPr>
        <w:pStyle w:val="NormalWeb"/>
        <w:spacing w:before="0" w:beforeAutospacing="0" w:after="0" w:afterAutospacing="0"/>
        <w:rPr>
          <w:rFonts w:ascii="Verdana" w:hAnsi="Verdana"/>
          <w:color w:val="404040"/>
          <w:sz w:val="18"/>
          <w:szCs w:val="18"/>
        </w:rPr>
      </w:pPr>
      <w:r w:rsidRPr="00AE5EA7">
        <w:rPr>
          <w:rStyle w:val="Strong"/>
          <w:color w:val="404040"/>
        </w:rPr>
        <w:t>Pentru mai multe informații</w:t>
      </w:r>
    </w:p>
    <w:p w14:paraId="719A808B" w14:textId="77777777" w:rsidR="000F0179" w:rsidRPr="00AE5EA7" w:rsidRDefault="0079598A" w:rsidP="00CA4643">
      <w:pPr>
        <w:pStyle w:val="NormalWeb"/>
        <w:spacing w:before="0" w:beforeAutospacing="0" w:after="0" w:afterAutospacing="0"/>
        <w:rPr>
          <w:rFonts w:ascii="Verdana" w:hAnsi="Verdana"/>
          <w:color w:val="404040"/>
          <w:sz w:val="18"/>
          <w:szCs w:val="18"/>
        </w:rPr>
      </w:pPr>
      <w:hyperlink r:id="rId123" w:history="1">
        <w:r w:rsidR="000F0179" w:rsidRPr="00AE5EA7">
          <w:rPr>
            <w:rStyle w:val="Hyperlink"/>
            <w:rFonts w:cs="Arial"/>
            <w:color w:val="004494"/>
          </w:rPr>
          <w:t>Comunicare: Munca decentă la nivel mondial</w:t>
        </w:r>
      </w:hyperlink>
    </w:p>
    <w:p w14:paraId="4F42523A" w14:textId="77777777" w:rsidR="000F0179" w:rsidRPr="00AE5EA7" w:rsidRDefault="0079598A" w:rsidP="00CA4643">
      <w:pPr>
        <w:pStyle w:val="NormalWeb"/>
        <w:spacing w:before="0" w:beforeAutospacing="0" w:after="0" w:afterAutospacing="0"/>
        <w:rPr>
          <w:rFonts w:ascii="Verdana" w:hAnsi="Verdana"/>
          <w:color w:val="404040"/>
          <w:sz w:val="18"/>
          <w:szCs w:val="18"/>
        </w:rPr>
      </w:pPr>
      <w:hyperlink r:id="rId124" w:history="1">
        <w:r w:rsidR="000F0179" w:rsidRPr="00AE5EA7">
          <w:rPr>
            <w:rStyle w:val="Hyperlink"/>
            <w:rFonts w:cs="Arial"/>
            <w:color w:val="004494"/>
          </w:rPr>
          <w:t>Site-ul web dedicat Pilonului european al drepturilor sociale</w:t>
        </w:r>
      </w:hyperlink>
      <w:hyperlink r:id="rId125"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RO</w:t>
        </w:r>
        <w:r w:rsidR="000F0179" w:rsidRPr="00AE5EA7">
          <w:rPr>
            <w:rStyle w:val="Hyperlink"/>
            <w:b/>
            <w:bCs/>
            <w:color w:val="CCCCCC"/>
            <w:bdr w:val="single" w:sz="6" w:space="2" w:color="AAAAAA" w:frame="1"/>
            <w:shd w:val="clear" w:color="auto" w:fill="FFFFFF"/>
          </w:rPr>
          <w:t>•••</w:t>
        </w:r>
      </w:hyperlink>
    </w:p>
    <w:p w14:paraId="5C8F5573" w14:textId="5E998F5E" w:rsidR="000F0179" w:rsidRPr="00AE5EA7" w:rsidRDefault="000F0179" w:rsidP="00C221DE">
      <w:pPr>
        <w:pStyle w:val="separatorarticole"/>
      </w:pPr>
      <w:r w:rsidRPr="00AE5EA7">
        <w:t>*</w:t>
      </w:r>
    </w:p>
    <w:p w14:paraId="77F21DFE" w14:textId="77777777" w:rsidR="000F0179" w:rsidRPr="00AE5EA7" w:rsidRDefault="000F0179" w:rsidP="00C221DE">
      <w:pPr>
        <w:pStyle w:val="TitluArticolinINFOUE"/>
        <w:rPr>
          <w:lang w:eastAsia="ro-RO"/>
        </w:rPr>
      </w:pPr>
      <w:bookmarkStart w:id="164" w:name="_Toc96929087"/>
      <w:r w:rsidRPr="00AE5EA7">
        <w:t>O economie justă și durabilă: Comisia stabilește norme pentru întreprinderi privind respectarea drepturilor omului și a mediului în lanțurile valorice mondiale</w:t>
      </w:r>
      <w:bookmarkEnd w:id="164"/>
    </w:p>
    <w:p w14:paraId="1E759342" w14:textId="77777777" w:rsidR="000F0179" w:rsidRPr="00AE5EA7" w:rsidRDefault="000F0179" w:rsidP="00AE5EA7">
      <w:pPr>
        <w:pStyle w:val="ecl-page-header-standardiseddescription"/>
        <w:spacing w:before="120" w:beforeAutospacing="0" w:after="0" w:afterAutospacing="0"/>
        <w:rPr>
          <w:rFonts w:ascii="Verdana" w:hAnsi="Verdana" w:cs="Arial"/>
          <w:color w:val="404040"/>
          <w:sz w:val="18"/>
          <w:szCs w:val="18"/>
        </w:rPr>
      </w:pPr>
      <w:r w:rsidRPr="00AE5EA7">
        <w:rPr>
          <w:rFonts w:ascii="Verdana" w:hAnsi="Verdana" w:cs="Arial"/>
          <w:color w:val="404040"/>
          <w:sz w:val="18"/>
          <w:szCs w:val="18"/>
        </w:rPr>
        <w:t>Astăzi, 23 februarie, Comisia Europeană a adoptat o Propunere de directivă privind diligența necesară a întreprinderilor în materie de durabilitate.</w:t>
      </w:r>
    </w:p>
    <w:p w14:paraId="35AACABD" w14:textId="10EFD1D7" w:rsidR="000F0179" w:rsidRPr="00AE5EA7" w:rsidRDefault="000F0179" w:rsidP="00C221DE">
      <w:pPr>
        <w:rPr>
          <w:color w:val="404040"/>
          <w:szCs w:val="18"/>
        </w:rPr>
      </w:pPr>
      <w:r w:rsidRPr="00AE5EA7">
        <w:rPr>
          <w:noProof/>
          <w:szCs w:val="18"/>
          <w:lang w:eastAsia="ro-RO"/>
        </w:rPr>
        <w:drawing>
          <wp:anchor distT="0" distB="0" distL="114300" distR="114300" simplePos="0" relativeHeight="252020736" behindDoc="0" locked="0" layoutInCell="1" allowOverlap="1" wp14:anchorId="5EF93380" wp14:editId="5B51D6A2">
            <wp:simplePos x="0" y="0"/>
            <wp:positionH relativeFrom="column">
              <wp:posOffset>-1593</wp:posOffset>
            </wp:positionH>
            <wp:positionV relativeFrom="paragraph">
              <wp:posOffset>74127</wp:posOffset>
            </wp:positionV>
            <wp:extent cx="2018581" cy="1350474"/>
            <wp:effectExtent l="0" t="0" r="1270" b="2540"/>
            <wp:wrapSquare wrapText="bothSides"/>
            <wp:docPr id="43" name="Picture 43" descr="EconomieJustaDur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onomieJustaDurabila"/>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018581" cy="1350474"/>
                    </a:xfrm>
                    <a:prstGeom prst="rect">
                      <a:avLst/>
                    </a:prstGeom>
                    <a:noFill/>
                    <a:ln>
                      <a:noFill/>
                    </a:ln>
                  </pic:spPr>
                </pic:pic>
              </a:graphicData>
            </a:graphic>
          </wp:anchor>
        </w:drawing>
      </w:r>
      <w:r w:rsidRPr="00AE5EA7">
        <w:rPr>
          <w:color w:val="404040"/>
          <w:szCs w:val="18"/>
        </w:rPr>
        <w:t>Scopul propunerii este să promoveze un comportament durabil și responsabil al întreprinderilor în cadrul lanțurilor valorice mondiale. Întreprinderile joacă un rol esențial în construirea unei economii și a unei societăți durabile. Acestea vor avea obligația să identifice și, după caz, să prevină, să pună capăt sau să atenueze efectele negative ale activităților lor asupra drepturilor omului, cum ar fi munca copiilor și exploatarea lucrătorilor, precum și asupra mediului, de exemplu poluarea și pierderea biodiversității. Aceste noi norme vor oferi securitate juridică și condiții de concurență echitabile întreprinderilor, precum și mai multă transparență consumatorilor și investitorilor. Noile norme ale UE vor promova tranziția verde și vor proteja drepturile omului în Europa și în afara acesteia.</w:t>
      </w:r>
    </w:p>
    <w:p w14:paraId="74308A27"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 xml:space="preserve">O serie de state membre au introdus deja norme naționale privind diligența necesară, iar unele întreprinderi au luat măsuri din proprie inițiativă. Cu toate acestea, este nevoie de o îmbunătățire la scară mai largă, care este dificil de realizat prin acțiuni voluntare. Propunerea stabilește o obligație de </w:t>
      </w:r>
      <w:r w:rsidRPr="00AE5EA7">
        <w:rPr>
          <w:rFonts w:ascii="Verdana" w:hAnsi="Verdana"/>
          <w:color w:val="404040"/>
          <w:sz w:val="18"/>
          <w:szCs w:val="18"/>
        </w:rPr>
        <w:lastRenderedPageBreak/>
        <w:t>diligență necesară a întreprinderilor în materie de durabilitate pentru a contracara impactul negativ asupra drepturilor omului și a mediului.</w:t>
      </w:r>
    </w:p>
    <w:p w14:paraId="0530DDAD"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Noile norme privind diligența necesară se vor aplica următoarelor întreprinderi și sectoare:</w:t>
      </w:r>
    </w:p>
    <w:p w14:paraId="3EB4F1B7" w14:textId="77777777" w:rsidR="000F0179" w:rsidRPr="00AE5EA7" w:rsidRDefault="000F0179" w:rsidP="00AE5EA7">
      <w:pPr>
        <w:numPr>
          <w:ilvl w:val="0"/>
          <w:numId w:val="33"/>
        </w:numPr>
        <w:ind w:left="0" w:firstLine="0"/>
        <w:rPr>
          <w:color w:val="404040"/>
          <w:szCs w:val="18"/>
        </w:rPr>
      </w:pPr>
      <w:r w:rsidRPr="00AE5EA7">
        <w:rPr>
          <w:rStyle w:val="Strong"/>
          <w:color w:val="404040"/>
        </w:rPr>
        <w:t>întreprinderile din UE:</w:t>
      </w:r>
    </w:p>
    <w:p w14:paraId="3EA9D857" w14:textId="77777777" w:rsidR="000F0179" w:rsidRPr="00AE5EA7" w:rsidRDefault="000F0179" w:rsidP="00AE5EA7">
      <w:pPr>
        <w:numPr>
          <w:ilvl w:val="1"/>
          <w:numId w:val="33"/>
        </w:numPr>
        <w:ind w:left="0" w:firstLine="0"/>
        <w:rPr>
          <w:color w:val="404040"/>
          <w:szCs w:val="18"/>
        </w:rPr>
      </w:pPr>
      <w:r w:rsidRPr="00AE5EA7">
        <w:rPr>
          <w:color w:val="404040"/>
          <w:szCs w:val="18"/>
        </w:rPr>
        <w:t>grupul 1: toate societățile cu răspundere limitată din UE de mari dimensiuni și cu o putere economică substanțială (peste 500 de angajați și o cifră de afaceri netă la nivel mondial de 150 de milioane EUR sau mai mult);</w:t>
      </w:r>
    </w:p>
    <w:p w14:paraId="14DD59CD" w14:textId="77777777" w:rsidR="000F0179" w:rsidRPr="00AE5EA7" w:rsidRDefault="000F0179" w:rsidP="00AE5EA7">
      <w:pPr>
        <w:numPr>
          <w:ilvl w:val="1"/>
          <w:numId w:val="33"/>
        </w:numPr>
        <w:ind w:left="0" w:firstLine="0"/>
        <w:rPr>
          <w:color w:val="404040"/>
          <w:szCs w:val="18"/>
        </w:rPr>
      </w:pPr>
      <w:r w:rsidRPr="00AE5EA7">
        <w:rPr>
          <w:color w:val="404040"/>
          <w:szCs w:val="18"/>
        </w:rPr>
        <w:t>grupul 2: alte societăți cu răspundere limitată care își desfășoară activitatea în sectoare cu impact ridicat definite, care nu ating ambele praguri ale grupului 1, dar au peste 250 de angajați și o cifră de afaceri netă la nivel mondial de cel puțin 40 de milioane EUR. Pentru aceste societăți, normele vor începe să se aplice cu 2 ani mai târziu decât pentru grupul 1;</w:t>
      </w:r>
    </w:p>
    <w:p w14:paraId="0ACAB8EF" w14:textId="77777777" w:rsidR="000F0179" w:rsidRPr="00AE5EA7" w:rsidRDefault="000F0179" w:rsidP="00AE5EA7">
      <w:pPr>
        <w:numPr>
          <w:ilvl w:val="0"/>
          <w:numId w:val="33"/>
        </w:numPr>
        <w:ind w:left="0" w:firstLine="0"/>
        <w:rPr>
          <w:color w:val="404040"/>
          <w:szCs w:val="18"/>
        </w:rPr>
      </w:pPr>
      <w:r w:rsidRPr="00AE5EA7">
        <w:rPr>
          <w:rStyle w:val="Strong"/>
          <w:color w:val="404040"/>
        </w:rPr>
        <w:t>întreprinderile din țări terțe</w:t>
      </w:r>
      <w:r w:rsidRPr="00AE5EA7">
        <w:rPr>
          <w:color w:val="404040"/>
          <w:szCs w:val="18"/>
        </w:rPr>
        <w:t> care își desfășoară activitatea în UE, cu un prag al cifrei de afaceri aliniat la grupurile 1 și 2, cifră de afaceri generată în UE.</w:t>
      </w:r>
    </w:p>
    <w:p w14:paraId="1E2569CA"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Întreprinderile mici și mijlocii (IMM-urile)</w:t>
      </w:r>
      <w:r w:rsidRPr="00AE5EA7">
        <w:rPr>
          <w:rFonts w:ascii="Verdana" w:hAnsi="Verdana"/>
          <w:color w:val="404040"/>
          <w:sz w:val="18"/>
          <w:szCs w:val="18"/>
        </w:rPr>
        <w:t> nu intră direct în domeniul de aplicare al prezentei propuneri.</w:t>
      </w:r>
    </w:p>
    <w:p w14:paraId="1C58305E"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Propunerea se aplică propriilor operațiuni ale unei întreprinderi, filialelor acesteia și lanțurilor lor valorice (relații de afaceri stabilite direct și indirect). Pentru a respecta obligația de diligență necesară a întreprinderilor, </w:t>
      </w:r>
      <w:r w:rsidRPr="00AE5EA7">
        <w:rPr>
          <w:rStyle w:val="Strong"/>
          <w:color w:val="404040"/>
        </w:rPr>
        <w:t>întreprinderile trebuie</w:t>
      </w:r>
      <w:r w:rsidRPr="00AE5EA7">
        <w:rPr>
          <w:rFonts w:ascii="Verdana" w:hAnsi="Verdana"/>
          <w:color w:val="404040"/>
          <w:sz w:val="18"/>
          <w:szCs w:val="18"/>
        </w:rPr>
        <w:t>:</w:t>
      </w:r>
    </w:p>
    <w:p w14:paraId="7E4452A6" w14:textId="77777777" w:rsidR="000F0179" w:rsidRPr="00AE5EA7" w:rsidRDefault="000F0179" w:rsidP="00AE5EA7">
      <w:pPr>
        <w:numPr>
          <w:ilvl w:val="0"/>
          <w:numId w:val="34"/>
        </w:numPr>
        <w:ind w:left="0" w:firstLine="0"/>
        <w:rPr>
          <w:color w:val="404040"/>
          <w:szCs w:val="18"/>
        </w:rPr>
      </w:pPr>
      <w:r w:rsidRPr="00AE5EA7">
        <w:rPr>
          <w:color w:val="404040"/>
          <w:szCs w:val="18"/>
        </w:rPr>
        <w:t>să integreze diligența necesară în politici;</w:t>
      </w:r>
    </w:p>
    <w:p w14:paraId="1E23959B" w14:textId="77777777" w:rsidR="000F0179" w:rsidRPr="00AE5EA7" w:rsidRDefault="000F0179" w:rsidP="00AE5EA7">
      <w:pPr>
        <w:numPr>
          <w:ilvl w:val="0"/>
          <w:numId w:val="34"/>
        </w:numPr>
        <w:ind w:left="0" w:firstLine="0"/>
        <w:rPr>
          <w:color w:val="404040"/>
          <w:szCs w:val="18"/>
        </w:rPr>
      </w:pPr>
      <w:r w:rsidRPr="00AE5EA7">
        <w:rPr>
          <w:color w:val="404040"/>
          <w:szCs w:val="18"/>
        </w:rPr>
        <w:t>să identifice impactul negativ real sau potențial asupra drepturilor omului și a mediului;</w:t>
      </w:r>
    </w:p>
    <w:p w14:paraId="562F12FB" w14:textId="77777777" w:rsidR="000F0179" w:rsidRPr="00AE5EA7" w:rsidRDefault="000F0179" w:rsidP="00AE5EA7">
      <w:pPr>
        <w:numPr>
          <w:ilvl w:val="0"/>
          <w:numId w:val="34"/>
        </w:numPr>
        <w:ind w:left="0" w:firstLine="0"/>
        <w:rPr>
          <w:color w:val="404040"/>
          <w:szCs w:val="18"/>
        </w:rPr>
      </w:pPr>
      <w:r w:rsidRPr="00AE5EA7">
        <w:rPr>
          <w:color w:val="404040"/>
          <w:szCs w:val="18"/>
        </w:rPr>
        <w:t>să prevină sau să atenueze impacturile potențiale;</w:t>
      </w:r>
    </w:p>
    <w:p w14:paraId="66F7FF72" w14:textId="77777777" w:rsidR="000F0179" w:rsidRPr="00AE5EA7" w:rsidRDefault="000F0179" w:rsidP="00AE5EA7">
      <w:pPr>
        <w:numPr>
          <w:ilvl w:val="0"/>
          <w:numId w:val="34"/>
        </w:numPr>
        <w:ind w:left="0" w:firstLine="0"/>
        <w:rPr>
          <w:color w:val="404040"/>
          <w:szCs w:val="18"/>
        </w:rPr>
      </w:pPr>
      <w:r w:rsidRPr="00AE5EA7">
        <w:rPr>
          <w:color w:val="404040"/>
          <w:szCs w:val="18"/>
        </w:rPr>
        <w:t>să pună capăt sau să reducă la minimum impactul real;</w:t>
      </w:r>
    </w:p>
    <w:p w14:paraId="530FB791" w14:textId="77777777" w:rsidR="000F0179" w:rsidRPr="00AE5EA7" w:rsidRDefault="000F0179" w:rsidP="00AE5EA7">
      <w:pPr>
        <w:numPr>
          <w:ilvl w:val="0"/>
          <w:numId w:val="34"/>
        </w:numPr>
        <w:ind w:left="0" w:firstLine="0"/>
        <w:rPr>
          <w:color w:val="404040"/>
          <w:szCs w:val="18"/>
        </w:rPr>
      </w:pPr>
      <w:r w:rsidRPr="00AE5EA7">
        <w:rPr>
          <w:color w:val="404040"/>
          <w:szCs w:val="18"/>
        </w:rPr>
        <w:t>să instituie și să mențină o procedură de depunere a plângerilor;</w:t>
      </w:r>
    </w:p>
    <w:p w14:paraId="1D0218E2" w14:textId="77777777" w:rsidR="000F0179" w:rsidRPr="00AE5EA7" w:rsidRDefault="000F0179" w:rsidP="00AE5EA7">
      <w:pPr>
        <w:numPr>
          <w:ilvl w:val="0"/>
          <w:numId w:val="34"/>
        </w:numPr>
        <w:ind w:left="0" w:firstLine="0"/>
        <w:rPr>
          <w:color w:val="404040"/>
          <w:szCs w:val="18"/>
        </w:rPr>
      </w:pPr>
      <w:r w:rsidRPr="00AE5EA7">
        <w:rPr>
          <w:color w:val="404040"/>
          <w:szCs w:val="18"/>
        </w:rPr>
        <w:t>să monitorizeze eficacitatea politicii și a măsurilor de diligență necesară</w:t>
      </w:r>
    </w:p>
    <w:p w14:paraId="74815C75" w14:textId="77777777" w:rsidR="000F0179" w:rsidRPr="00AE5EA7" w:rsidRDefault="000F0179" w:rsidP="00AE5EA7">
      <w:pPr>
        <w:numPr>
          <w:ilvl w:val="0"/>
          <w:numId w:val="34"/>
        </w:numPr>
        <w:ind w:left="0" w:firstLine="0"/>
        <w:rPr>
          <w:color w:val="404040"/>
          <w:szCs w:val="18"/>
        </w:rPr>
      </w:pPr>
      <w:r w:rsidRPr="00AE5EA7">
        <w:rPr>
          <w:color w:val="404040"/>
          <w:szCs w:val="18"/>
        </w:rPr>
        <w:t>și să comunice public cu privire la diligența necesară.</w:t>
      </w:r>
    </w:p>
    <w:p w14:paraId="21C4E3D9"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Mai concret, aceasta înseamnă </w:t>
      </w:r>
      <w:r w:rsidRPr="00AE5EA7">
        <w:rPr>
          <w:rStyle w:val="Strong"/>
          <w:color w:val="404040"/>
        </w:rPr>
        <w:t>o protecție mai eficace a drepturilor omului incluse în convențiile internaționale</w:t>
      </w:r>
      <w:r w:rsidRPr="00AE5EA7">
        <w:rPr>
          <w:rFonts w:ascii="Verdana" w:hAnsi="Verdana"/>
          <w:color w:val="404040"/>
          <w:sz w:val="18"/>
          <w:szCs w:val="18"/>
        </w:rPr>
        <w:t>. De exemplu, lucrătorii trebuie să aibă acces la condiții de muncă sigure și sănătoase. În mod similar, această propunere va sprijini evitarea efectelor negative asupra mediului care încalcă </w:t>
      </w:r>
      <w:r w:rsidRPr="00AE5EA7">
        <w:rPr>
          <w:rStyle w:val="Strong"/>
          <w:color w:val="404040"/>
        </w:rPr>
        <w:t>principalele convenții în domeniul mediului</w:t>
      </w:r>
      <w:r w:rsidRPr="00AE5EA7">
        <w:rPr>
          <w:rFonts w:ascii="Verdana" w:hAnsi="Verdana"/>
          <w:color w:val="404040"/>
          <w:sz w:val="18"/>
          <w:szCs w:val="18"/>
        </w:rPr>
        <w:t>. Întreprinderile vizate vor trebui să ia măsuri adecvate („obligația de mijloace”), în funcție de gravitatea și probabilitatea unor impacturi diferite, precum și măsurile aflate la dispoziția lor în circumstanțele specifice și va trebui să stabilească priorități.</w:t>
      </w:r>
    </w:p>
    <w:p w14:paraId="1965D2AD"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Autoritățile administrative naționale desemnate de statele membre vor fi responsabile de supravegherea acestor noi norme și pot impune </w:t>
      </w:r>
      <w:r w:rsidRPr="00AE5EA7">
        <w:rPr>
          <w:rStyle w:val="Strong"/>
          <w:color w:val="404040"/>
        </w:rPr>
        <w:t>amenzi în caz de nerespectare</w:t>
      </w:r>
      <w:r w:rsidRPr="00AE5EA7">
        <w:rPr>
          <w:rFonts w:ascii="Verdana" w:hAnsi="Verdana"/>
          <w:color w:val="404040"/>
          <w:sz w:val="18"/>
          <w:szCs w:val="18"/>
        </w:rPr>
        <w:t>. De asemenea, victimele vor avea posibilitatea de a introduce </w:t>
      </w:r>
      <w:r w:rsidRPr="00AE5EA7">
        <w:rPr>
          <w:rStyle w:val="Strong"/>
          <w:color w:val="404040"/>
        </w:rPr>
        <w:t>acțiuni în justiție pentru daunele</w:t>
      </w:r>
      <w:r w:rsidRPr="00AE5EA7">
        <w:rPr>
          <w:rFonts w:ascii="Verdana" w:hAnsi="Verdana"/>
          <w:color w:val="404040"/>
          <w:sz w:val="18"/>
          <w:szCs w:val="18"/>
        </w:rPr>
        <w:t> care ar fi putut fi evitate prin măsuri adecvate de diligență necesară.</w:t>
      </w:r>
    </w:p>
    <w:p w14:paraId="724FFE54"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 plus, întreprinderile din grupul 1 trebuie să aibă un plan pentru a se asigura că strategia lor de afaceri este </w:t>
      </w:r>
      <w:r w:rsidRPr="00AE5EA7">
        <w:rPr>
          <w:rStyle w:val="Strong"/>
          <w:color w:val="404040"/>
        </w:rPr>
        <w:t>compatibilă cu limitarea încălzirii globale</w:t>
      </w:r>
      <w:r w:rsidRPr="00AE5EA7">
        <w:rPr>
          <w:rFonts w:ascii="Verdana" w:hAnsi="Verdana"/>
          <w:color w:val="404040"/>
          <w:sz w:val="18"/>
          <w:szCs w:val="18"/>
        </w:rPr>
        <w:t> la 1,5 °C, în conformitate cu Acordul de la Paris.</w:t>
      </w:r>
    </w:p>
    <w:p w14:paraId="01DCC14C"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Pentru a se asigura că diligența necesară devine parte integrantă din funcționarea globală a întreprinderilor, </w:t>
      </w:r>
      <w:r w:rsidRPr="00AE5EA7">
        <w:rPr>
          <w:rStyle w:val="Strong"/>
          <w:color w:val="404040"/>
        </w:rPr>
        <w:t>este necesară implicarea directorilor de întreprinderi</w:t>
      </w:r>
      <w:r w:rsidRPr="00AE5EA7">
        <w:rPr>
          <w:rFonts w:ascii="Verdana" w:hAnsi="Verdana"/>
          <w:color w:val="404040"/>
          <w:sz w:val="18"/>
          <w:szCs w:val="18"/>
        </w:rPr>
        <w:t>. Acesta este motivul pentru care propunerea introduce, de asemenea, sarcini pentru directorii întreprinderilor, care trebuie să instituie obligația de diligență necesară, să supravegheze punerea în aplicare a acesteia și să o integreze în strategia corporativă. În plus, atunci când își îndeplinesc obligația de a acționa în interesul întreprinderii, directorii trebuie să țină seama de drepturile omului, de schimbările climatice și de consecințele deciziilor lor asupra mediului. În cazul în care au o remunerație variabilă, directorilor de întreprinderi li se vor oferi stimulente să contribuie la combaterea schimbărilor climatice prin intermediul planului de afaceri.</w:t>
      </w:r>
    </w:p>
    <w:p w14:paraId="0CF03FED"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lastRenderedPageBreak/>
        <w:t>Propunerea include, de asemenea, </w:t>
      </w:r>
      <w:r w:rsidRPr="00AE5EA7">
        <w:rPr>
          <w:rStyle w:val="Strong"/>
          <w:color w:val="404040"/>
        </w:rPr>
        <w:t>măsuri de însoțire</w:t>
      </w:r>
      <w:r w:rsidRPr="00AE5EA7">
        <w:rPr>
          <w:rFonts w:ascii="Verdana" w:hAnsi="Verdana"/>
          <w:color w:val="404040"/>
          <w:sz w:val="18"/>
          <w:szCs w:val="18"/>
        </w:rPr>
        <w:t>, ce vor sprijini toate întreprinderile, inclusiv IMM-urile, care pot fi afectate în mod indirect. Printre măsuri se numără dezvoltarea în mod individual sau în comun de site-uri web, platforme sau portaluri dedicate și posibilitatea de a acorda sprijin financiar pentru IMM-uri. Pentru a sprijini întreprinderile, Comisia poate adopta orientări, inclusiv privind clauze contractuale tip. De asemenea, Comisia poate completa cu noi măsuri sprijinul oferit de statele membre, inclusiv prin sprijinirea întreprinderilor din țări terțe.</w:t>
      </w:r>
    </w:p>
    <w:p w14:paraId="77D12D3B"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Scopul propunerii este de a se asigura că Uniunea, atât la nivelul sectorului privat, cât și al sectorului public, acționează pe scena internațională respectându-și pe deplin angajamentele internaționale în ceea ce privește protejarea drepturilor omului și promovarea dezvoltării durabile, precum și normele comerțului internațional.</w:t>
      </w:r>
    </w:p>
    <w:p w14:paraId="2EC121DE"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Ca parte a pachetului său de măsuri privind economia justă și durabilă, Comisia prezintă astăzi și o </w:t>
      </w:r>
      <w:hyperlink r:id="rId127" w:history="1">
        <w:r w:rsidRPr="00AE5EA7">
          <w:rPr>
            <w:rStyle w:val="Hyperlink"/>
            <w:rFonts w:cs="Arial"/>
            <w:color w:val="004494"/>
          </w:rPr>
          <w:t>Comunicare privind munca decentă la nivel mondial</w:t>
        </w:r>
      </w:hyperlink>
      <w:hyperlink r:id="rId128"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RO</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Aceasta prezintă politicile interne și externe pe care UE le utilizează pentru a realiza obiectivul muncii decente la nivel mondial, plasându-l în centrul unei redresări favorabile incluziunii, durabile și reziliente în urma pandemiei.</w:t>
      </w:r>
    </w:p>
    <w:p w14:paraId="589F15C4" w14:textId="77777777" w:rsidR="00A2705C" w:rsidRDefault="00A2705C" w:rsidP="00AE5EA7">
      <w:pPr>
        <w:pStyle w:val="NormalWeb"/>
        <w:spacing w:before="120" w:beforeAutospacing="0" w:after="0" w:afterAutospacing="0"/>
        <w:rPr>
          <w:rStyle w:val="Strong"/>
          <w:color w:val="404040"/>
        </w:rPr>
      </w:pPr>
    </w:p>
    <w:p w14:paraId="423D0C81"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Declarațiile membrilor colegiului</w:t>
      </w:r>
    </w:p>
    <w:p w14:paraId="3B1575F3"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Věra </w:t>
      </w:r>
      <w:r w:rsidRPr="00AE5EA7">
        <w:rPr>
          <w:rStyle w:val="Strong"/>
          <w:color w:val="404040"/>
        </w:rPr>
        <w:t>Jourová</w:t>
      </w:r>
      <w:r w:rsidRPr="00AE5EA7">
        <w:rPr>
          <w:rFonts w:ascii="Verdana" w:hAnsi="Verdana"/>
          <w:color w:val="404040"/>
          <w:sz w:val="18"/>
          <w:szCs w:val="18"/>
        </w:rPr>
        <w:t>, vicepreședinta pentru valori și transparență, a declarat: </w:t>
      </w:r>
      <w:r w:rsidRPr="00AE5EA7">
        <w:rPr>
          <w:rStyle w:val="Emphasis"/>
          <w:color w:val="404040"/>
        </w:rPr>
        <w:t>Prezenta propunere urmărește două obiective. În primul rând, să răspundă preocupărilor consumatorilor care nu doresc să cumpere produse fabricate cu implicarea muncii forțate sau care distrug mediul, de exemplu. În al doilea rând, propunerea urmărește sprijinirea întreprinderilor prin asigurarea securității juridice cu privire la obligațiile care le revin în cadrul pieței unice. Acest act legislativ va reflecta valorile europene în cadrul lanțurilor valorice, într-un mod echitabil și proporțional.</w:t>
      </w:r>
    </w:p>
    <w:p w14:paraId="415AB0E3"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Didier </w:t>
      </w:r>
      <w:r w:rsidRPr="00AE5EA7">
        <w:rPr>
          <w:rStyle w:val="Strong"/>
          <w:color w:val="404040"/>
        </w:rPr>
        <w:t>Reynders</w:t>
      </w:r>
      <w:r w:rsidRPr="00AE5EA7">
        <w:rPr>
          <w:rFonts w:ascii="Verdana" w:hAnsi="Verdana"/>
          <w:color w:val="404040"/>
          <w:sz w:val="18"/>
          <w:szCs w:val="18"/>
        </w:rPr>
        <w:t>, comisarul pentru justiție, a declarat: </w:t>
      </w:r>
      <w:r w:rsidRPr="00AE5EA7">
        <w:rPr>
          <w:rStyle w:val="Emphasis"/>
          <w:color w:val="404040"/>
        </w:rPr>
        <w:t>Prezenta propunere va schimba radical modul în care întreprinderile își desfășoară activitățile comerciale de-a lungul lanțului lor de aprovizionare mondial. Prin aceste norme, dorim să apărăm drepturile omului și să ne asumăm rolul de lider în tranziția verde. Nu mai putem ignora ceea ce se întâmplă în cadrul lanțurilor noastre valorice. Trebuie să ne schimbăm modelul economic. Dinamica de pe piață a contribuit la susținerea acestei inițiative, iar consumatorii au pledat pentru produse mai durabile. Am convingerea că mulți lideri ai mediului de afaceri vor sprijini această cauză.</w:t>
      </w:r>
    </w:p>
    <w:p w14:paraId="4F40C47D"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Thierry </w:t>
      </w:r>
      <w:r w:rsidRPr="00AE5EA7">
        <w:rPr>
          <w:rStyle w:val="Strong"/>
          <w:color w:val="404040"/>
        </w:rPr>
        <w:t>Breton</w:t>
      </w:r>
      <w:r w:rsidRPr="00AE5EA7">
        <w:rPr>
          <w:rFonts w:ascii="Verdana" w:hAnsi="Verdana"/>
          <w:color w:val="404040"/>
          <w:sz w:val="18"/>
          <w:szCs w:val="18"/>
        </w:rPr>
        <w:t>, comisarul pentru piața internă, a declarat: </w:t>
      </w:r>
      <w:r w:rsidRPr="00AE5EA7">
        <w:rPr>
          <w:rStyle w:val="Emphasis"/>
          <w:color w:val="404040"/>
        </w:rPr>
        <w:t>Unele întreprinderi europene sunt deja lidere în privința practicilor corporative durabile, însă multe dintre ele se confruntă în continuare cu dificultăți în ceea ce privește înțelegerea și îmbunătățirea amprentei lor de mediu și a rezultatelor în materie de drepturi ale omului. Având în vedere complexitatea lanțurilor valorice mondiale, întreprinderilor le este foarte greu să obțină informații fiabile cu privire la operațiunile furnizorilor lor. Fragmentarea normelor naționale încetinește și mai mult progresele în adoptarea bunelor practici. Propunerea noastră le va permite actorilor importanți de pe piață să își asume un rol de lider în atenuarea riscurilor de-a lungul lanțurilor lor valorice, sprijinind în același timp întreprinderile mici să se adapteze la schimbări.</w:t>
      </w:r>
    </w:p>
    <w:p w14:paraId="02BEC8F4"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Etapele următoare</w:t>
      </w:r>
    </w:p>
    <w:p w14:paraId="6C2FEE70"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Propunerea va fi transmisă Parlamentului European și Consiliului pentru a fi aprobată. După adoptare, statele membre vor avea la dispoziție doi ani pentru a transpune directiva în legislația națională și pentru a transmite Comisiei textele legislative relevante.</w:t>
      </w:r>
    </w:p>
    <w:p w14:paraId="05DB2891"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Context</w:t>
      </w:r>
    </w:p>
    <w:p w14:paraId="43B0000B"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Întreprinderile europene sunt lideri mondiali în materie de durabilitate. Durabilitatea este ancorată în valorile UE, iar întreprinderile își manifestă angajamentul de a respecta drepturile omului și de a-și reduce impactul asupra planetei. Cu toate acestea, progresele înregistrate de întreprinderi în ceea ce privește integrarea durabilității, în special a drepturilor omului și a obligației de diligență necesară în materie de mediu, în procesele de guvernanță corporativă rămân lente.</w:t>
      </w:r>
    </w:p>
    <w:p w14:paraId="51FE76C5"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 xml:space="preserve">Pentru a răspunde acestor provocări, în martie 2021, Parlamentul European a invitat Comisia să prezinte o propunere legislativă privind obligația de diligență necesară în cadrul lanțului valoric. În mod similar, la </w:t>
      </w:r>
      <w:r w:rsidRPr="00AE5EA7">
        <w:rPr>
          <w:rFonts w:ascii="Verdana" w:hAnsi="Verdana"/>
          <w:color w:val="404040"/>
          <w:sz w:val="18"/>
          <w:szCs w:val="18"/>
        </w:rPr>
        <w:lastRenderedPageBreak/>
        <w:t>3 decembrie 2020, în concluziile sale, Consiliul a invitat Comisia să prezinte o propunere de cadru juridic al UE privind guvernanța corporativă durabilă, inclusiv obligația de diligență corporativă transsectorială de-a lungul lanțurilor valorice mondiale.</w:t>
      </w:r>
    </w:p>
    <w:p w14:paraId="2A1F3610"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Propunerea Comisiei răspunde celor două apeluri, luând cu atenție în considerare răspunsurile obținute în cadrul unei </w:t>
      </w:r>
      <w:hyperlink r:id="rId129" w:history="1">
        <w:r w:rsidRPr="00AE5EA7">
          <w:rPr>
            <w:rStyle w:val="Hyperlink"/>
            <w:rFonts w:cs="Arial"/>
            <w:color w:val="004494"/>
          </w:rPr>
          <w:t>consultări publice deschise referitoare la inițiativa privind guvernanța corporativă durabilă</w:t>
        </w:r>
      </w:hyperlink>
      <w:hyperlink r:id="rId130"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EN</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lansată de Comisie la 26 octombrie 2020. În pregătirea propunerii, Comisia a luat în considerare, de asemenea, baza largă de elemente colectate prin intermediul a două studii comandate privind </w:t>
      </w:r>
      <w:hyperlink r:id="rId131" w:history="1">
        <w:r w:rsidRPr="00AE5EA7">
          <w:rPr>
            <w:rStyle w:val="Hyperlink"/>
            <w:rFonts w:cs="Arial"/>
            <w:color w:val="004494"/>
          </w:rPr>
          <w:t>sarcinile directorilor de întreprindere și guvernanța corporativă durabilă</w:t>
        </w:r>
      </w:hyperlink>
      <w:hyperlink r:id="rId132"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EN</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(iulie 2020) și privind </w:t>
      </w:r>
      <w:hyperlink r:id="rId133" w:history="1">
        <w:r w:rsidRPr="00AE5EA7">
          <w:rPr>
            <w:rStyle w:val="Hyperlink"/>
            <w:rFonts w:cs="Arial"/>
            <w:color w:val="004494"/>
          </w:rPr>
          <w:t>cerințele de diligență necesară în cadrul lanțului de aprovizionare</w:t>
        </w:r>
      </w:hyperlink>
      <w:hyperlink r:id="rId134"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EN</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(februarie 2020).</w:t>
      </w:r>
    </w:p>
    <w:p w14:paraId="0A69DD21" w14:textId="77777777" w:rsidR="000F0179" w:rsidRPr="00AE5EA7" w:rsidRDefault="000F0179" w:rsidP="00AE5EA7">
      <w:pPr>
        <w:pStyle w:val="NormalWeb"/>
        <w:spacing w:before="120" w:beforeAutospacing="0" w:after="0" w:afterAutospacing="0"/>
        <w:rPr>
          <w:rFonts w:ascii="Verdana" w:hAnsi="Verdana"/>
          <w:color w:val="404040"/>
          <w:sz w:val="18"/>
          <w:szCs w:val="18"/>
        </w:rPr>
      </w:pPr>
      <w:r w:rsidRPr="00AE5EA7">
        <w:rPr>
          <w:rStyle w:val="Strong"/>
          <w:color w:val="404040"/>
        </w:rPr>
        <w:t>Pentru mai multe informații</w:t>
      </w:r>
    </w:p>
    <w:p w14:paraId="1A55023F"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135" w:history="1">
        <w:r w:rsidR="000F0179" w:rsidRPr="00AE5EA7">
          <w:rPr>
            <w:rStyle w:val="Hyperlink"/>
            <w:rFonts w:cs="Arial"/>
            <w:color w:val="004494"/>
          </w:rPr>
          <w:t>Propunere de directivă privind diligența necesară a întreprinderilor în materie de durabilitate + anexă</w:t>
        </w:r>
      </w:hyperlink>
    </w:p>
    <w:p w14:paraId="4A43FAC3"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136" w:history="1">
        <w:r w:rsidR="000F0179" w:rsidRPr="00AE5EA7">
          <w:rPr>
            <w:rStyle w:val="Hyperlink"/>
            <w:rFonts w:cs="Arial"/>
            <w:color w:val="004494"/>
          </w:rPr>
          <w:t>Întrebări și răspunsuri privind diligența necesară a întreprinderilor în materie de durabilitate</w:t>
        </w:r>
      </w:hyperlink>
      <w:hyperlink r:id="rId137"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RO</w:t>
        </w:r>
        <w:r w:rsidR="000F0179" w:rsidRPr="00AE5EA7">
          <w:rPr>
            <w:rStyle w:val="Hyperlink"/>
            <w:b/>
            <w:bCs/>
            <w:color w:val="CCCCCC"/>
            <w:bdr w:val="single" w:sz="6" w:space="2" w:color="AAAAAA" w:frame="1"/>
            <w:shd w:val="clear" w:color="auto" w:fill="FFFFFF"/>
          </w:rPr>
          <w:t>•••</w:t>
        </w:r>
      </w:hyperlink>
    </w:p>
    <w:p w14:paraId="2CF7D672"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138" w:history="1">
        <w:r w:rsidR="000F0179" w:rsidRPr="00AE5EA7">
          <w:rPr>
            <w:rStyle w:val="Hyperlink"/>
            <w:rFonts w:cs="Arial"/>
            <w:color w:val="004494"/>
          </w:rPr>
          <w:t>Fișă informativă privind diligența necesară a întreprinderilor în materie de durabilitate</w:t>
        </w:r>
      </w:hyperlink>
      <w:hyperlink r:id="rId139"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RO</w:t>
        </w:r>
        <w:r w:rsidR="000F0179" w:rsidRPr="00AE5EA7">
          <w:rPr>
            <w:rStyle w:val="Hyperlink"/>
            <w:b/>
            <w:bCs/>
            <w:color w:val="CCCCCC"/>
            <w:bdr w:val="single" w:sz="6" w:space="2" w:color="AAAAAA" w:frame="1"/>
            <w:shd w:val="clear" w:color="auto" w:fill="FFFFFF"/>
          </w:rPr>
          <w:t>•••</w:t>
        </w:r>
      </w:hyperlink>
    </w:p>
    <w:p w14:paraId="3AEA9175" w14:textId="77777777" w:rsidR="000F0179" w:rsidRPr="00AE5EA7" w:rsidRDefault="0079598A" w:rsidP="00AE5EA7">
      <w:pPr>
        <w:pStyle w:val="NormalWeb"/>
        <w:spacing w:before="120" w:beforeAutospacing="0" w:after="0" w:afterAutospacing="0"/>
        <w:rPr>
          <w:rFonts w:ascii="Verdana" w:hAnsi="Verdana"/>
          <w:color w:val="404040"/>
          <w:sz w:val="18"/>
          <w:szCs w:val="18"/>
        </w:rPr>
      </w:pPr>
      <w:hyperlink r:id="rId140" w:history="1">
        <w:r w:rsidR="000F0179" w:rsidRPr="00AE5EA7">
          <w:rPr>
            <w:rStyle w:val="Hyperlink"/>
            <w:rFonts w:cs="Arial"/>
            <w:color w:val="004494"/>
          </w:rPr>
          <w:t>Pagină informativă privind diligența necesară a întreprinderilor în materie de durabilitate</w:t>
        </w:r>
      </w:hyperlink>
      <w:hyperlink r:id="rId141" w:history="1">
        <w:r w:rsidR="000F0179"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0F0179" w:rsidRPr="00AE5EA7">
          <w:rPr>
            <w:rStyle w:val="Hyperlink"/>
            <w:color w:val="AAAAAA"/>
            <w:bdr w:val="single" w:sz="6" w:space="2" w:color="AAAAAA" w:frame="1"/>
            <w:shd w:val="clear" w:color="auto" w:fill="FFFFFF"/>
          </w:rPr>
          <w:t>RO</w:t>
        </w:r>
        <w:r w:rsidR="000F0179" w:rsidRPr="00AE5EA7">
          <w:rPr>
            <w:rStyle w:val="Hyperlink"/>
            <w:b/>
            <w:bCs/>
            <w:color w:val="CCCCCC"/>
            <w:bdr w:val="single" w:sz="6" w:space="2" w:color="AAAAAA" w:frame="1"/>
            <w:shd w:val="clear" w:color="auto" w:fill="FFFFFF"/>
          </w:rPr>
          <w:t>•••</w:t>
        </w:r>
      </w:hyperlink>
    </w:p>
    <w:p w14:paraId="29AFF6BE" w14:textId="5C72B823" w:rsidR="000F0179" w:rsidRPr="00AE5EA7" w:rsidRDefault="000F0179" w:rsidP="00C221DE">
      <w:pPr>
        <w:pStyle w:val="separatorarticole"/>
      </w:pPr>
      <w:r w:rsidRPr="00AE5EA7">
        <w:t>*</w:t>
      </w:r>
    </w:p>
    <w:p w14:paraId="6BEF69BD" w14:textId="6EE934B4" w:rsidR="000E30E1" w:rsidRPr="00AE5EA7" w:rsidRDefault="000E30E1" w:rsidP="00C221DE">
      <w:pPr>
        <w:pStyle w:val="TitluArticolinINFOUE"/>
        <w:rPr>
          <w:lang w:eastAsia="ro-RO"/>
        </w:rPr>
      </w:pPr>
      <w:bookmarkStart w:id="165" w:name="_Toc96929088"/>
      <w:r w:rsidRPr="00AE5EA7">
        <w:t>De la fermă la consumator: un aditiv furajer inovator va reduce emisiile de metan generate de vacile de lapte în UE</w:t>
      </w:r>
      <w:bookmarkEnd w:id="165"/>
    </w:p>
    <w:p w14:paraId="5AB863EE" w14:textId="77777777" w:rsidR="000E30E1" w:rsidRPr="00AE5EA7" w:rsidRDefault="000E30E1" w:rsidP="00AE5EA7">
      <w:pPr>
        <w:pStyle w:val="ecl-page-header-standardiseddescription"/>
        <w:spacing w:before="120" w:beforeAutospacing="0" w:after="0" w:afterAutospacing="0"/>
        <w:rPr>
          <w:rFonts w:ascii="Verdana" w:hAnsi="Verdana" w:cs="Arial"/>
          <w:color w:val="404040"/>
          <w:sz w:val="18"/>
          <w:szCs w:val="18"/>
        </w:rPr>
      </w:pPr>
      <w:r w:rsidRPr="00AE5EA7">
        <w:rPr>
          <w:rFonts w:ascii="Verdana" w:hAnsi="Verdana" w:cs="Arial"/>
          <w:color w:val="404040"/>
          <w:sz w:val="18"/>
          <w:szCs w:val="18"/>
        </w:rPr>
        <w:t>Astăzi, 23 februarie, statele membre au aprobat comercializarea în UE a unui aditiv furajer inovator, conform unei propuneri a Comisiei.</w:t>
      </w:r>
    </w:p>
    <w:p w14:paraId="6AE4AB58" w14:textId="76158D10" w:rsidR="000E30E1" w:rsidRPr="00AE5EA7" w:rsidRDefault="000E30E1" w:rsidP="00C221DE">
      <w:pPr>
        <w:rPr>
          <w:color w:val="404040"/>
          <w:szCs w:val="18"/>
        </w:rPr>
      </w:pPr>
      <w:r w:rsidRPr="00AE5EA7">
        <w:rPr>
          <w:noProof/>
          <w:szCs w:val="18"/>
          <w:lang w:eastAsia="ro-RO"/>
        </w:rPr>
        <w:drawing>
          <wp:anchor distT="0" distB="0" distL="114300" distR="114300" simplePos="0" relativeHeight="252021760" behindDoc="0" locked="0" layoutInCell="1" allowOverlap="1" wp14:anchorId="470DC5F9" wp14:editId="1A6DEBBB">
            <wp:simplePos x="0" y="0"/>
            <wp:positionH relativeFrom="column">
              <wp:posOffset>-1593</wp:posOffset>
            </wp:positionH>
            <wp:positionV relativeFrom="paragraph">
              <wp:posOffset>74774</wp:posOffset>
            </wp:positionV>
            <wp:extent cx="2242867" cy="1500525"/>
            <wp:effectExtent l="0" t="0" r="5080" b="4445"/>
            <wp:wrapSquare wrapText="bothSides"/>
            <wp:docPr id="44" name="Picture 44" descr="AditivFura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ditivFurajer"/>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242867" cy="1500525"/>
                    </a:xfrm>
                    <a:prstGeom prst="rect">
                      <a:avLst/>
                    </a:prstGeom>
                    <a:noFill/>
                    <a:ln>
                      <a:noFill/>
                    </a:ln>
                  </pic:spPr>
                </pic:pic>
              </a:graphicData>
            </a:graphic>
          </wp:anchor>
        </w:drawing>
      </w:r>
      <w:r w:rsidRPr="00AE5EA7">
        <w:rPr>
          <w:color w:val="404040"/>
          <w:szCs w:val="18"/>
        </w:rPr>
        <w:t>Aditivul, 3-nitrooxipropanol, va contribui la reducerea emisiilor de metan, un gaz cu efect de seră puternic, provenind de la vaci.</w:t>
      </w:r>
    </w:p>
    <w:p w14:paraId="618E4EDF" w14:textId="77777777" w:rsidR="000E30E1" w:rsidRPr="00AE5EA7" w:rsidRDefault="000E30E1"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Stella </w:t>
      </w:r>
      <w:r w:rsidRPr="00AE5EA7">
        <w:rPr>
          <w:rStyle w:val="Strong"/>
          <w:color w:val="404040"/>
        </w:rPr>
        <w:t>Kyriakides</w:t>
      </w:r>
      <w:r w:rsidRPr="00AE5EA7">
        <w:rPr>
          <w:rFonts w:ascii="Verdana" w:hAnsi="Verdana"/>
          <w:color w:val="404040"/>
          <w:sz w:val="18"/>
          <w:szCs w:val="18"/>
        </w:rPr>
        <w:t>, comisarul pentru sănătate și siguranță alimentară, a declarat: </w:t>
      </w:r>
      <w:r w:rsidRPr="00AE5EA7">
        <w:rPr>
          <w:rStyle w:val="Emphasis"/>
          <w:color w:val="404040"/>
        </w:rPr>
        <w:t>„Inovarea este esențială pentru o tranziție reușită către un sistem alimentar mai durabil. UE continuă să fie deschizătoare de drumuri în ceea ce privește asigurarea siguranței alimentare, adaptându-se la noi tehnologii care pot face producția de alimente mai durabilă. Reducerea emisiilor de metan provenind de la ferme este esențială în lupta noastră împotriva schimbărilor climatice, iar aprobarea de astăzi este un exemplu foarte elocvent de realizări posibile grație ultimelor inovații în agricultură.”</w:t>
      </w:r>
    </w:p>
    <w:p w14:paraId="2B749D40" w14:textId="77777777" w:rsidR="000E30E1" w:rsidRPr="00AE5EA7" w:rsidRDefault="000E30E1"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Autoritatea Europeană pentru Siguranța Alimentară a evaluat riguros produsul și a </w:t>
      </w:r>
      <w:hyperlink r:id="rId143" w:history="1">
        <w:r w:rsidRPr="00AE5EA7">
          <w:rPr>
            <w:rStyle w:val="Hyperlink"/>
            <w:rFonts w:cs="Arial"/>
            <w:color w:val="004494"/>
          </w:rPr>
          <w:t>concluzionat</w:t>
        </w:r>
      </w:hyperlink>
      <w:hyperlink r:id="rId144" w:history="1">
        <w:r w:rsidRPr="00AE5E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E5EA7">
          <w:rPr>
            <w:rStyle w:val="Hyperlink"/>
            <w:color w:val="AAAAAA"/>
            <w:bdr w:val="single" w:sz="6" w:space="2" w:color="AAAAAA" w:frame="1"/>
            <w:shd w:val="clear" w:color="auto" w:fill="FFFFFF"/>
          </w:rPr>
          <w:t>EN</w:t>
        </w:r>
        <w:r w:rsidRPr="00AE5EA7">
          <w:rPr>
            <w:rStyle w:val="Hyperlink"/>
            <w:b/>
            <w:bCs/>
            <w:color w:val="CCCCCC"/>
            <w:bdr w:val="single" w:sz="6" w:space="2" w:color="AAAAAA" w:frame="1"/>
            <w:shd w:val="clear" w:color="auto" w:fill="FFFFFF"/>
          </w:rPr>
          <w:t>•••</w:t>
        </w:r>
      </w:hyperlink>
      <w:r w:rsidRPr="00AE5EA7">
        <w:rPr>
          <w:rFonts w:ascii="Verdana" w:hAnsi="Verdana"/>
          <w:color w:val="404040"/>
          <w:sz w:val="18"/>
          <w:szCs w:val="18"/>
        </w:rPr>
        <w:t> că este eficace în reducerea emisiilor de metan ale vacilor pentru producția de lapte. După adoptarea deciziei de către Comisie, preconizată pentru lunile următoare, aditivul furajer va fi primul de acest tip disponibil pe piața UE.</w:t>
      </w:r>
    </w:p>
    <w:p w14:paraId="33C16ABB" w14:textId="77777777" w:rsidR="000E30E1" w:rsidRPr="00AE5EA7" w:rsidRDefault="000E30E1"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t>Acest produs inovator va contribui la ecologizarea agriculturii UE și la îndeplinirea obiectivelor Strategiei „De la fermă la consumator”: s-a estimat că acesta va reduce emisiile de metan ale vacilor de lapte cu 20 % până la 35 %, fără a afecta producția. Utilizarea acestuia nu reprezintă niciun pericol pentru vaci și consumatori și nu afectează calitatea produselor lactate.</w:t>
      </w:r>
    </w:p>
    <w:p w14:paraId="1E28508B" w14:textId="77777777" w:rsidR="000E30E1" w:rsidRPr="00AE5EA7" w:rsidRDefault="000E30E1" w:rsidP="00AE5EA7">
      <w:pPr>
        <w:pStyle w:val="NormalWeb"/>
        <w:spacing w:before="120" w:beforeAutospacing="0" w:after="0" w:afterAutospacing="0"/>
        <w:rPr>
          <w:rFonts w:ascii="Verdana" w:hAnsi="Verdana"/>
          <w:color w:val="404040"/>
          <w:sz w:val="18"/>
          <w:szCs w:val="18"/>
        </w:rPr>
      </w:pPr>
      <w:r w:rsidRPr="00AE5EA7">
        <w:rPr>
          <w:rFonts w:ascii="Verdana" w:hAnsi="Verdana"/>
          <w:color w:val="404040"/>
          <w:sz w:val="18"/>
          <w:szCs w:val="18"/>
        </w:rPr>
        <w:lastRenderedPageBreak/>
        <w:t>Un </w:t>
      </w:r>
      <w:hyperlink r:id="rId145" w:history="1">
        <w:r w:rsidRPr="00AE5EA7">
          <w:rPr>
            <w:rStyle w:val="Hyperlink"/>
            <w:rFonts w:cs="Arial"/>
            <w:color w:val="004494"/>
          </w:rPr>
          <w:t>raport</w:t>
        </w:r>
      </w:hyperlink>
      <w:r w:rsidRPr="00AE5EA7">
        <w:rPr>
          <w:rFonts w:ascii="Verdana" w:hAnsi="Verdana"/>
          <w:color w:val="404040"/>
          <w:sz w:val="18"/>
          <w:szCs w:val="18"/>
        </w:rPr>
        <w:t> din 2021 al Programului Națiunilor Unite pentru Mediu a concluzionat că emisiile generate de creșterea animalelor – provenite din dejecțiile și din evacuările gastrointestinale ale animalelor  – constituie aproximativ o treime din emisiile de metan cauzate de om.</w:t>
      </w:r>
    </w:p>
    <w:p w14:paraId="67F908F9" w14:textId="6CE2F783" w:rsidR="00860EEF" w:rsidRPr="00AE5EA7" w:rsidRDefault="000F0179" w:rsidP="00D21317">
      <w:pPr>
        <w:pStyle w:val="Stilsursa"/>
      </w:pPr>
      <w:r w:rsidRPr="00AE5EA7">
        <w:t>Sursa: Reprezentanța în România a Comisiei Europene  https://romania.representation.ec.europa.eu/stiri-evenimente-si-resurse-pentru-presa/stiri_ro</w:t>
      </w:r>
    </w:p>
    <w:p w14:paraId="7F161175" w14:textId="65D3CCC9" w:rsidR="000B0469" w:rsidRDefault="000B0469" w:rsidP="00C80B94">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2E332D9C" w14:textId="0C38F56F" w:rsidR="00A03CAC" w:rsidRDefault="00A03CAC" w:rsidP="00275562">
      <w:pPr>
        <w:pStyle w:val="DinactualitateaEU"/>
      </w:pPr>
      <w:bookmarkStart w:id="166" w:name="_Toc96929089"/>
      <w:r w:rsidRPr="00275562">
        <w:t>C</w:t>
      </w:r>
      <w:r w:rsidR="009B78AB" w:rsidRPr="00275562">
        <w:t>oronavirus</w:t>
      </w:r>
      <w:bookmarkEnd w:id="166"/>
    </w:p>
    <w:p w14:paraId="6D2E566B" w14:textId="77777777" w:rsidR="000F0179" w:rsidRPr="00D21317" w:rsidRDefault="000F0179" w:rsidP="00D21317">
      <w:pPr>
        <w:pStyle w:val="TitluArticolinINFOUE"/>
      </w:pPr>
      <w:bookmarkStart w:id="167" w:name="_Toc96929090"/>
      <w:r w:rsidRPr="00D21317">
        <w:rPr>
          <w:rStyle w:val="TitluArticolinINFOUECaracter"/>
          <w:b/>
        </w:rPr>
        <w:t>Certificatul digital al UE privind COVID: certificatele de vindecare se pot elibera de</w:t>
      </w:r>
      <w:r w:rsidRPr="00D21317">
        <w:t xml:space="preserve"> acum și pe baza testelor antigenice rapide</w:t>
      </w:r>
      <w:bookmarkEnd w:id="167"/>
    </w:p>
    <w:p w14:paraId="25B62AC1" w14:textId="77777777" w:rsidR="000F0179" w:rsidRPr="00D21317" w:rsidRDefault="000F0179" w:rsidP="00AF6222">
      <w:pPr>
        <w:pStyle w:val="ecl-page-header-standardiseddescription"/>
        <w:shd w:val="clear" w:color="auto" w:fill="FFFFFF"/>
        <w:spacing w:before="40" w:beforeAutospacing="0" w:after="0" w:afterAutospacing="0"/>
        <w:rPr>
          <w:rFonts w:ascii="Verdana" w:hAnsi="Verdana" w:cs="Arial"/>
          <w:color w:val="404040"/>
          <w:sz w:val="18"/>
          <w:szCs w:val="18"/>
        </w:rPr>
      </w:pPr>
      <w:r w:rsidRPr="00D21317">
        <w:rPr>
          <w:rFonts w:ascii="Verdana" w:hAnsi="Verdana" w:cs="Arial"/>
          <w:color w:val="404040"/>
          <w:sz w:val="18"/>
          <w:szCs w:val="18"/>
        </w:rPr>
        <w:t>Comisia Europeană a adoptat astăzi, 22 februarie, un act delegat referitor la certificatul digital al UE privind COVID, în ceea ce privește eliberarea certificatelor de vindecare.</w:t>
      </w:r>
    </w:p>
    <w:p w14:paraId="16A2E6FF" w14:textId="142BCFE3" w:rsidR="000F0179" w:rsidRPr="00D21317" w:rsidRDefault="000F0179" w:rsidP="00AF6222">
      <w:pPr>
        <w:spacing w:before="40"/>
        <w:rPr>
          <w:color w:val="404040"/>
          <w:szCs w:val="18"/>
        </w:rPr>
      </w:pPr>
      <w:r w:rsidRPr="00D21317">
        <w:rPr>
          <w:noProof/>
          <w:szCs w:val="18"/>
          <w:lang w:eastAsia="ro-RO"/>
        </w:rPr>
        <w:drawing>
          <wp:anchor distT="0" distB="0" distL="114300" distR="114300" simplePos="0" relativeHeight="252022784" behindDoc="0" locked="0" layoutInCell="1" allowOverlap="1" wp14:anchorId="675781F7" wp14:editId="6FD2EBD6">
            <wp:simplePos x="0" y="0"/>
            <wp:positionH relativeFrom="column">
              <wp:posOffset>-1593</wp:posOffset>
            </wp:positionH>
            <wp:positionV relativeFrom="paragraph">
              <wp:posOffset>72450</wp:posOffset>
            </wp:positionV>
            <wp:extent cx="1716656" cy="1148479"/>
            <wp:effectExtent l="0" t="0" r="0" b="0"/>
            <wp:wrapSquare wrapText="bothSides"/>
            <wp:docPr id="34" name="Picture 34" descr="Certifi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rtificat"/>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716656" cy="1148479"/>
                    </a:xfrm>
                    <a:prstGeom prst="rect">
                      <a:avLst/>
                    </a:prstGeom>
                    <a:noFill/>
                    <a:ln>
                      <a:noFill/>
                    </a:ln>
                  </pic:spPr>
                </pic:pic>
              </a:graphicData>
            </a:graphic>
          </wp:anchor>
        </w:drawing>
      </w:r>
      <w:r w:rsidRPr="00D21317">
        <w:rPr>
          <w:color w:val="404040"/>
          <w:szCs w:val="18"/>
        </w:rPr>
        <w:t>Începând de astăzi, în temeiul </w:t>
      </w:r>
      <w:hyperlink r:id="rId147" w:history="1">
        <w:r w:rsidRPr="00D21317">
          <w:rPr>
            <w:rStyle w:val="Hyperlink"/>
            <w:rFonts w:cs="Arial"/>
            <w:color w:val="004494"/>
          </w:rPr>
          <w:t>noilor norme</w:t>
        </w:r>
      </w:hyperlink>
      <w:hyperlink r:id="rId148" w:history="1">
        <w:r w:rsidRPr="00D21317">
          <w:rPr>
            <w:rStyle w:val="wtoffscreen"/>
            <w:color w:val="999999"/>
            <w:szCs w:val="18"/>
            <w:u w:val="single"/>
            <w:bdr w:val="single" w:sz="6" w:space="2" w:color="AAAAAA" w:frame="1"/>
            <w:shd w:val="clear" w:color="auto" w:fill="FFFFFF"/>
          </w:rPr>
          <w:t>Căutați traducerile disponibile pentru linkul precedent</w:t>
        </w:r>
        <w:r w:rsidRPr="00D21317">
          <w:rPr>
            <w:rStyle w:val="Hyperlink"/>
            <w:color w:val="AAAAAA"/>
            <w:bdr w:val="single" w:sz="6" w:space="2" w:color="AAAAAA" w:frame="1"/>
            <w:shd w:val="clear" w:color="auto" w:fill="FFFFFF"/>
          </w:rPr>
          <w:t>EN</w:t>
        </w:r>
        <w:r w:rsidRPr="00D21317">
          <w:rPr>
            <w:rStyle w:val="Hyperlink"/>
            <w:b/>
            <w:bCs/>
            <w:color w:val="CCCCCC"/>
            <w:bdr w:val="single" w:sz="6" w:space="2" w:color="AAAAAA" w:frame="1"/>
            <w:shd w:val="clear" w:color="auto" w:fill="FFFFFF"/>
          </w:rPr>
          <w:t>•••</w:t>
        </w:r>
      </w:hyperlink>
      <w:r w:rsidRPr="00D21317">
        <w:rPr>
          <w:color w:val="404040"/>
          <w:szCs w:val="18"/>
          <w:u w:val="single"/>
        </w:rPr>
        <w:t>,</w:t>
      </w:r>
      <w:r w:rsidRPr="00D21317">
        <w:rPr>
          <w:color w:val="404040"/>
          <w:szCs w:val="18"/>
        </w:rPr>
        <w:t> statele membre vor putea să elibereze certificate de vindecare pe baza unui rezultat pozitiv al unui test antigenic rapid.</w:t>
      </w:r>
    </w:p>
    <w:p w14:paraId="02847438" w14:textId="77777777" w:rsidR="000F0179" w:rsidRPr="00D21317" w:rsidRDefault="000F0179" w:rsidP="00AF6222">
      <w:pPr>
        <w:pStyle w:val="NormalWeb"/>
        <w:spacing w:before="40" w:beforeAutospacing="0" w:after="0" w:afterAutospacing="0"/>
        <w:rPr>
          <w:rFonts w:ascii="Verdana" w:hAnsi="Verdana"/>
          <w:color w:val="404040"/>
          <w:sz w:val="18"/>
          <w:szCs w:val="18"/>
        </w:rPr>
      </w:pPr>
      <w:r w:rsidRPr="00D21317">
        <w:rPr>
          <w:rFonts w:ascii="Verdana" w:hAnsi="Verdana"/>
          <w:color w:val="404040"/>
          <w:sz w:val="18"/>
          <w:szCs w:val="18"/>
        </w:rPr>
        <w:t>Anterior, un certificat de vindecare putea fi eliberat numai în urma unui rezultat pozitiv al unui test de amplificare a acidului nucleic molecular (NAAT), cum ar fi RT-PCR. Pentru a asigura acuratețea și fiabilitatea certificatului, testul antigenic rapid utilizat ar trebui să fie inclus în </w:t>
      </w:r>
      <w:hyperlink r:id="rId149" w:history="1">
        <w:r w:rsidRPr="00D21317">
          <w:rPr>
            <w:rStyle w:val="Hyperlink"/>
            <w:rFonts w:cs="Arial"/>
            <w:color w:val="004494"/>
          </w:rPr>
          <w:t>lista comună la nivelul UE a testelor antigenice rapide pentru COVID-19</w:t>
        </w:r>
      </w:hyperlink>
      <w:hyperlink r:id="rId150" w:history="1">
        <w:r w:rsidRPr="00D2131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21317">
          <w:rPr>
            <w:rStyle w:val="Hyperlink"/>
            <w:color w:val="AAAAAA"/>
            <w:bdr w:val="single" w:sz="6" w:space="2" w:color="AAAAAA" w:frame="1"/>
            <w:shd w:val="clear" w:color="auto" w:fill="FFFFFF"/>
          </w:rPr>
          <w:t>EN</w:t>
        </w:r>
        <w:r w:rsidRPr="00D21317">
          <w:rPr>
            <w:rStyle w:val="Hyperlink"/>
            <w:b/>
            <w:bCs/>
            <w:color w:val="CCCCCC"/>
            <w:bdr w:val="single" w:sz="6" w:space="2" w:color="AAAAAA" w:frame="1"/>
            <w:shd w:val="clear" w:color="auto" w:fill="FFFFFF"/>
          </w:rPr>
          <w:t>•••</w:t>
        </w:r>
      </w:hyperlink>
      <w:r w:rsidRPr="00D21317">
        <w:rPr>
          <w:rFonts w:ascii="Verdana" w:hAnsi="Verdana"/>
          <w:color w:val="404040"/>
          <w:sz w:val="18"/>
          <w:szCs w:val="18"/>
        </w:rPr>
        <w:t> și să fie efectuat de cadre medicale sau de personal calificat. Statele membre pot elibera astfel de certificate retroactiv, pe baza testelor efectuate începând cu 1 octombrie 2021.</w:t>
      </w:r>
    </w:p>
    <w:p w14:paraId="2E6B48EF" w14:textId="77777777" w:rsidR="000F0179" w:rsidRPr="00D21317" w:rsidRDefault="000F0179" w:rsidP="00AF6222">
      <w:pPr>
        <w:pStyle w:val="NormalWeb"/>
        <w:spacing w:before="40" w:beforeAutospacing="0" w:after="0" w:afterAutospacing="0"/>
        <w:rPr>
          <w:rFonts w:ascii="Verdana" w:hAnsi="Verdana"/>
          <w:color w:val="404040"/>
          <w:sz w:val="18"/>
          <w:szCs w:val="18"/>
        </w:rPr>
      </w:pPr>
      <w:r w:rsidRPr="00D21317">
        <w:rPr>
          <w:rFonts w:ascii="Verdana" w:hAnsi="Verdana"/>
          <w:color w:val="404040"/>
          <w:sz w:val="18"/>
          <w:szCs w:val="18"/>
        </w:rPr>
        <w:t>Didier </w:t>
      </w:r>
      <w:r w:rsidRPr="00D21317">
        <w:rPr>
          <w:rStyle w:val="Strong"/>
          <w:color w:val="404040"/>
        </w:rPr>
        <w:t>Reynders</w:t>
      </w:r>
      <w:r w:rsidRPr="00D21317">
        <w:rPr>
          <w:rFonts w:ascii="Verdana" w:hAnsi="Verdana"/>
          <w:color w:val="404040"/>
          <w:sz w:val="18"/>
          <w:szCs w:val="18"/>
        </w:rPr>
        <w:t>, comisarul pentru justiție, a declarat: </w:t>
      </w:r>
      <w:r w:rsidRPr="00D21317">
        <w:rPr>
          <w:rStyle w:val="Emphasis"/>
          <w:color w:val="404040"/>
        </w:rPr>
        <w:t>„Certificatul digital al UE privind COVID evoluează în funcție de situație. Pentru a facilita libera circulație, în special a cetățenilor infectați în timpul valului Omicron, statele membre sunt acum în măsură să elibereze certificate de vindecare și pe baza testelor antigenice rapide de înaltă calitate." </w:t>
      </w:r>
    </w:p>
    <w:p w14:paraId="64D9C254" w14:textId="77777777" w:rsidR="000F0179" w:rsidRPr="00D21317" w:rsidRDefault="000F0179" w:rsidP="00AF6222">
      <w:pPr>
        <w:pStyle w:val="NormalWeb"/>
        <w:spacing w:before="40" w:beforeAutospacing="0" w:after="0" w:afterAutospacing="0"/>
        <w:rPr>
          <w:rFonts w:ascii="Verdana" w:hAnsi="Verdana"/>
          <w:color w:val="404040"/>
          <w:sz w:val="18"/>
          <w:szCs w:val="18"/>
        </w:rPr>
      </w:pPr>
      <w:r w:rsidRPr="00D21317">
        <w:rPr>
          <w:rFonts w:ascii="Verdana" w:hAnsi="Verdana"/>
          <w:color w:val="404040"/>
          <w:sz w:val="18"/>
          <w:szCs w:val="18"/>
        </w:rPr>
        <w:t>Stella </w:t>
      </w:r>
      <w:r w:rsidRPr="00D21317">
        <w:rPr>
          <w:rStyle w:val="Strong"/>
          <w:color w:val="404040"/>
        </w:rPr>
        <w:t>Kyriakides</w:t>
      </w:r>
      <w:r w:rsidRPr="00D21317">
        <w:rPr>
          <w:rFonts w:ascii="Verdana" w:hAnsi="Verdana"/>
          <w:color w:val="404040"/>
          <w:sz w:val="18"/>
          <w:szCs w:val="18"/>
        </w:rPr>
        <w:t>, comisarul pentru sănătate și siguranță alimentară, a declarat: </w:t>
      </w:r>
      <w:r w:rsidRPr="00D21317">
        <w:rPr>
          <w:rStyle w:val="Emphasis"/>
          <w:color w:val="404040"/>
        </w:rPr>
        <w:t>„Lista comună a testelor antigenice rapide pentru COVID-19 le permite statelor membre să identifice rapid testele de înaltă calitate validate de studii de evaluare independente recunoscute în UE. Pe baza acestei liste, statele membre vor fi acum în măsură să utilizeze teste antigenice rapide pentru a elibera certificate de vindecare și pentru a reduce o parte din presiunea semnificativă asupra capacităților naționale de diagnosticare ca urmare a apariției variantei Omicron. Suntem hotărâți să ne asigurăm că certificatul digital al UE respectă cele mai recente evoluții și recomandări științifice.”</w:t>
      </w:r>
    </w:p>
    <w:p w14:paraId="110108A1" w14:textId="77777777" w:rsidR="000F0179" w:rsidRPr="00D21317" w:rsidRDefault="000F0179" w:rsidP="00AF6222">
      <w:pPr>
        <w:pStyle w:val="NormalWeb"/>
        <w:spacing w:before="40" w:beforeAutospacing="0" w:after="0" w:afterAutospacing="0"/>
        <w:rPr>
          <w:rFonts w:ascii="Verdana" w:hAnsi="Verdana"/>
          <w:color w:val="404040"/>
          <w:sz w:val="18"/>
          <w:szCs w:val="18"/>
        </w:rPr>
      </w:pPr>
      <w:r w:rsidRPr="00D21317">
        <w:rPr>
          <w:rFonts w:ascii="Verdana" w:hAnsi="Verdana"/>
          <w:color w:val="404040"/>
          <w:sz w:val="18"/>
          <w:szCs w:val="18"/>
        </w:rPr>
        <w:t>Noile norme se aplică imediat, iar statele membre pot începe să elibereze certificate de vindecare bazate pe teste antigenice rapide de îndată ce acestea sunt pregătite să facă acest lucru. Mai multe informații sunt disponibile pe </w:t>
      </w:r>
      <w:hyperlink r:id="rId151" w:history="1">
        <w:r w:rsidRPr="00D21317">
          <w:rPr>
            <w:rStyle w:val="Hyperlink"/>
            <w:rFonts w:cs="Arial"/>
            <w:color w:val="004494"/>
          </w:rPr>
          <w:t>site-ul dedicat</w:t>
        </w:r>
      </w:hyperlink>
      <w:hyperlink r:id="rId152" w:history="1">
        <w:r w:rsidRPr="00D2131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21317">
          <w:rPr>
            <w:rStyle w:val="Hyperlink"/>
            <w:color w:val="AAAAAA"/>
            <w:bdr w:val="single" w:sz="6" w:space="2" w:color="AAAAAA" w:frame="1"/>
            <w:shd w:val="clear" w:color="auto" w:fill="FFFFFF"/>
          </w:rPr>
          <w:t>EN</w:t>
        </w:r>
        <w:r w:rsidRPr="00D21317">
          <w:rPr>
            <w:rStyle w:val="Hyperlink"/>
            <w:b/>
            <w:bCs/>
            <w:color w:val="CCCCCC"/>
            <w:bdr w:val="single" w:sz="6" w:space="2" w:color="AAAAAA" w:frame="1"/>
            <w:shd w:val="clear" w:color="auto" w:fill="FFFFFF"/>
          </w:rPr>
          <w:t>•••</w:t>
        </w:r>
      </w:hyperlink>
      <w:r w:rsidRPr="00D21317">
        <w:rPr>
          <w:rFonts w:ascii="Verdana" w:hAnsi="Verdana"/>
          <w:color w:val="404040"/>
          <w:sz w:val="18"/>
          <w:szCs w:val="18"/>
        </w:rPr>
        <w:t> certificatului digital al UE privind COVID.</w:t>
      </w:r>
    </w:p>
    <w:p w14:paraId="57BE5555" w14:textId="1EFED8E3" w:rsidR="0001178E" w:rsidRDefault="0001178E" w:rsidP="0001178E">
      <w:pPr>
        <w:pStyle w:val="Stilsursa"/>
      </w:pPr>
      <w:bookmarkStart w:id="168" w:name="_Hlk96338715"/>
      <w:r>
        <w:t xml:space="preserve">Sursa: </w:t>
      </w:r>
      <w:r w:rsidRPr="0001178E">
        <w:t>Reprezentanța în România</w:t>
      </w:r>
      <w:r>
        <w:t xml:space="preserve"> a Comisiei Europene  </w:t>
      </w:r>
      <w:r w:rsidR="000F0179" w:rsidRPr="000F0179">
        <w:t>https://romania.representation.ec.europa.eu/news/certificatul-digital-al-ue-privind-covid-certificatele-de-vindecare-se-pot-elibera-de-acum-si-pe-2022-02-22_ro</w:t>
      </w:r>
    </w:p>
    <w:p w14:paraId="65ACAD8F" w14:textId="77777777" w:rsidR="00CD4B20" w:rsidRDefault="00CD4B20" w:rsidP="0029188B">
      <w:pPr>
        <w:pStyle w:val="separatorcapitole"/>
        <w:ind w:right="198"/>
      </w:pPr>
      <w:bookmarkStart w:id="169" w:name="_Hlk96338547"/>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7"/>
          <w:bookmarkEnd w:id="18"/>
          <w:bookmarkEnd w:id="129"/>
          <w:bookmarkEnd w:id="130"/>
          <w:bookmarkEnd w:id="131"/>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73CFF1D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B2000B">
            <w:pPr>
              <w:ind w:right="198"/>
              <w:rPr>
                <w:i/>
                <w:spacing w:val="-6"/>
                <w:sz w:val="14"/>
                <w:szCs w:val="14"/>
              </w:rPr>
            </w:pPr>
          </w:p>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bookmarkEnd w:id="169"/>
    </w:tbl>
    <w:p w14:paraId="4FC32EF6" w14:textId="42A2DDC1" w:rsidR="00DC5114" w:rsidRPr="00F50627" w:rsidRDefault="00DC5114" w:rsidP="00B2000B">
      <w:pPr>
        <w:spacing w:after="120"/>
        <w:ind w:right="198"/>
        <w:rPr>
          <w:rFonts w:cs="Arial"/>
          <w:color w:val="000000"/>
          <w:szCs w:val="18"/>
        </w:rPr>
      </w:pPr>
    </w:p>
    <w:bookmarkEnd w:id="168"/>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mc:AlternateContent>
          <mc:Choice Requires="wps">
            <w:drawing>
              <wp:anchor distT="0" distB="0" distL="114300" distR="114300" simplePos="0" relativeHeight="252014592" behindDoc="0" locked="0" layoutInCell="1" allowOverlap="1" wp14:anchorId="0EBB5C0F" wp14:editId="0B7E119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AF6222" w:rsidRDefault="00AF6222" w:rsidP="00FB71DC">
                            <w:pPr>
                              <w:jc w:val="center"/>
                              <w:rPr>
                                <w:b/>
                                <w:smallCaps/>
                                <w:color w:val="000080"/>
                                <w:szCs w:val="18"/>
                                <w:u w:val="single"/>
                              </w:rPr>
                            </w:pPr>
                          </w:p>
                          <w:p w14:paraId="32A750FB" w14:textId="77777777" w:rsidR="00AF6222" w:rsidRDefault="00AF6222" w:rsidP="00FB71DC">
                            <w:pPr>
                              <w:jc w:val="center"/>
                              <w:rPr>
                                <w:b/>
                                <w:smallCaps/>
                                <w:color w:val="000080"/>
                                <w:szCs w:val="18"/>
                                <w:u w:val="single"/>
                              </w:rPr>
                            </w:pPr>
                          </w:p>
                          <w:p w14:paraId="57DA7989" w14:textId="77777777" w:rsidR="00AF6222" w:rsidRPr="00307C1A" w:rsidRDefault="00AF6222"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AF6222" w:rsidRPr="00307C1A" w:rsidRDefault="00AF6222"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AF6222" w:rsidRPr="00100481" w:rsidRDefault="00AF6222"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AF6222" w:rsidRDefault="00AF6222" w:rsidP="00FB71DC">
                            <w:pPr>
                              <w:spacing w:before="200"/>
                              <w:jc w:val="center"/>
                              <w:rPr>
                                <w:b/>
                                <w:smallCaps/>
                                <w:color w:val="000080"/>
                                <w:szCs w:val="18"/>
                              </w:rPr>
                            </w:pPr>
                          </w:p>
                          <w:p w14:paraId="10BB6620" w14:textId="77777777" w:rsidR="00AF6222" w:rsidRDefault="00AF6222" w:rsidP="00FB71DC">
                            <w:pPr>
                              <w:spacing w:before="200"/>
                              <w:jc w:val="center"/>
                              <w:rPr>
                                <w:b/>
                                <w:smallCaps/>
                                <w:color w:val="000080"/>
                                <w:szCs w:val="18"/>
                              </w:rPr>
                            </w:pPr>
                          </w:p>
                          <w:p w14:paraId="00499C2A" w14:textId="77777777" w:rsidR="00AF6222" w:rsidRPr="00827DC2" w:rsidRDefault="00AF6222" w:rsidP="00FB71DC">
                            <w:pPr>
                              <w:jc w:val="center"/>
                              <w:rPr>
                                <w:b/>
                                <w:smallCaps/>
                                <w:color w:val="000080"/>
                                <w:szCs w:val="18"/>
                              </w:rPr>
                            </w:pPr>
                            <w:r w:rsidRPr="00827DC2">
                              <w:rPr>
                                <w:b/>
                                <w:smallCaps/>
                                <w:color w:val="000080"/>
                                <w:szCs w:val="18"/>
                              </w:rPr>
                              <w:t>Instituţia Prefectului - Judeţul Hunedoara</w:t>
                            </w:r>
                          </w:p>
                          <w:p w14:paraId="22F8B620" w14:textId="77777777" w:rsidR="00AF6222" w:rsidRPr="00A16260" w:rsidRDefault="00AF6222"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AF6222" w:rsidRPr="00A16260" w:rsidRDefault="00AF6222"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AF6222" w:rsidRDefault="00AF6222"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AF6222" w:rsidRPr="00A16260" w:rsidRDefault="00AF6222" w:rsidP="00FB71DC">
                            <w:pPr>
                              <w:spacing w:before="40"/>
                              <w:jc w:val="center"/>
                              <w:rPr>
                                <w:rFonts w:ascii="Book Antiqua" w:hAnsi="Book Antiqua" w:cs="Tahoma"/>
                                <w:b/>
                                <w:szCs w:val="18"/>
                              </w:rPr>
                            </w:pPr>
                          </w:p>
                          <w:p w14:paraId="33D8A147" w14:textId="77777777" w:rsidR="00AF6222" w:rsidRPr="00C85301" w:rsidRDefault="00AF6222" w:rsidP="00FB71DC">
                            <w:pPr>
                              <w:spacing w:before="40"/>
                              <w:jc w:val="center"/>
                              <w:rPr>
                                <w:rStyle w:val="Hyperlink"/>
                                <w:rFonts w:ascii="Book Antiqua" w:hAnsi="Book Antiqua"/>
                              </w:rPr>
                            </w:pPr>
                            <w:hyperlink r:id="rId15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AF6222" w:rsidRPr="00A16260" w:rsidRDefault="00AF6222"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" fillcolor="#85abcd" strokecolor="gray" strokeweight="5.25pt">
                <v:fill opacity="13107f"/>
                <v:stroke linestyle="thickThin"/>
                <v:textbox>
                  <w:txbxContent>
                    <w:p w14:paraId="11B0472D" w14:textId="77777777" w:rsidR="00AF6222" w:rsidRDefault="00AF6222" w:rsidP="00FB71DC">
                      <w:pPr>
                        <w:jc w:val="center"/>
                        <w:rPr>
                          <w:b/>
                          <w:smallCaps/>
                          <w:color w:val="000080"/>
                          <w:szCs w:val="18"/>
                          <w:u w:val="single"/>
                        </w:rPr>
                      </w:pPr>
                    </w:p>
                    <w:p w14:paraId="32A750FB" w14:textId="77777777" w:rsidR="00AF6222" w:rsidRDefault="00AF6222" w:rsidP="00FB71DC">
                      <w:pPr>
                        <w:jc w:val="center"/>
                        <w:rPr>
                          <w:b/>
                          <w:smallCaps/>
                          <w:color w:val="000080"/>
                          <w:szCs w:val="18"/>
                          <w:u w:val="single"/>
                        </w:rPr>
                      </w:pPr>
                    </w:p>
                    <w:p w14:paraId="57DA7989" w14:textId="77777777" w:rsidR="00AF6222" w:rsidRPr="00307C1A" w:rsidRDefault="00AF6222"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AF6222" w:rsidRPr="00307C1A" w:rsidRDefault="00AF6222"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AF6222" w:rsidRPr="00100481" w:rsidRDefault="00AF6222"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AF6222" w:rsidRDefault="00AF6222" w:rsidP="00FB71DC">
                      <w:pPr>
                        <w:spacing w:before="200"/>
                        <w:jc w:val="center"/>
                        <w:rPr>
                          <w:b/>
                          <w:smallCaps/>
                          <w:color w:val="000080"/>
                          <w:szCs w:val="18"/>
                        </w:rPr>
                      </w:pPr>
                    </w:p>
                    <w:p w14:paraId="10BB6620" w14:textId="77777777" w:rsidR="00AF6222" w:rsidRDefault="00AF6222" w:rsidP="00FB71DC">
                      <w:pPr>
                        <w:spacing w:before="200"/>
                        <w:jc w:val="center"/>
                        <w:rPr>
                          <w:b/>
                          <w:smallCaps/>
                          <w:color w:val="000080"/>
                          <w:szCs w:val="18"/>
                        </w:rPr>
                      </w:pPr>
                    </w:p>
                    <w:p w14:paraId="00499C2A" w14:textId="77777777" w:rsidR="00AF6222" w:rsidRPr="00827DC2" w:rsidRDefault="00AF6222" w:rsidP="00FB71DC">
                      <w:pPr>
                        <w:jc w:val="center"/>
                        <w:rPr>
                          <w:b/>
                          <w:smallCaps/>
                          <w:color w:val="000080"/>
                          <w:szCs w:val="18"/>
                        </w:rPr>
                      </w:pPr>
                      <w:r w:rsidRPr="00827DC2">
                        <w:rPr>
                          <w:b/>
                          <w:smallCaps/>
                          <w:color w:val="000080"/>
                          <w:szCs w:val="18"/>
                        </w:rPr>
                        <w:t>Instituţia Prefectului - Judeţul Hunedoara</w:t>
                      </w:r>
                    </w:p>
                    <w:p w14:paraId="22F8B620" w14:textId="77777777" w:rsidR="00AF6222" w:rsidRPr="00A16260" w:rsidRDefault="00AF6222"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AF6222" w:rsidRPr="00A16260" w:rsidRDefault="00AF6222"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AF6222" w:rsidRDefault="00AF6222"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AF6222" w:rsidRPr="00A16260" w:rsidRDefault="00AF6222" w:rsidP="00FB71DC">
                      <w:pPr>
                        <w:spacing w:before="40"/>
                        <w:jc w:val="center"/>
                        <w:rPr>
                          <w:rFonts w:ascii="Book Antiqua" w:hAnsi="Book Antiqua" w:cs="Tahoma"/>
                          <w:b/>
                          <w:szCs w:val="18"/>
                        </w:rPr>
                      </w:pPr>
                    </w:p>
                    <w:p w14:paraId="33D8A147" w14:textId="77777777" w:rsidR="00AF6222" w:rsidRPr="00C85301" w:rsidRDefault="00AF6222" w:rsidP="00FB71DC">
                      <w:pPr>
                        <w:spacing w:before="40"/>
                        <w:jc w:val="center"/>
                        <w:rPr>
                          <w:rStyle w:val="Hyperlink"/>
                          <w:rFonts w:ascii="Book Antiqua" w:hAnsi="Book Antiqua"/>
                        </w:rPr>
                      </w:pPr>
                      <w:hyperlink r:id="rId15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AF6222" w:rsidRPr="00A16260" w:rsidRDefault="00AF6222"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156"/>
      <w:headerReference w:type="default" r:id="rId157"/>
      <w:footerReference w:type="default" r:id="rId158"/>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8DB04" w14:textId="77777777" w:rsidR="00923D7B" w:rsidRDefault="00923D7B">
      <w:r>
        <w:separator/>
      </w:r>
    </w:p>
    <w:p w14:paraId="4BB6F195" w14:textId="77777777" w:rsidR="00923D7B" w:rsidRDefault="00923D7B"/>
  </w:endnote>
  <w:endnote w:type="continuationSeparator" w:id="0">
    <w:p w14:paraId="02D57B26" w14:textId="77777777" w:rsidR="00923D7B" w:rsidRDefault="00923D7B">
      <w:r>
        <w:continuationSeparator/>
      </w:r>
    </w:p>
    <w:p w14:paraId="52E201D9" w14:textId="77777777" w:rsidR="00923D7B" w:rsidRDefault="00923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AF6222" w:rsidRPr="006E031F" w14:paraId="29C45603" w14:textId="77777777" w:rsidTr="0041562B">
      <w:trPr>
        <w:gridAfter w:val="1"/>
        <w:wAfter w:w="6" w:type="pct"/>
        <w:trHeight w:val="288"/>
      </w:trPr>
      <w:tc>
        <w:tcPr>
          <w:tcW w:w="600" w:type="pct"/>
          <w:vMerge w:val="restart"/>
          <w:vAlign w:val="center"/>
        </w:tcPr>
        <w:p w14:paraId="65FB61FF" w14:textId="77777777" w:rsidR="00AF6222" w:rsidRPr="008B206B" w:rsidRDefault="00AF6222" w:rsidP="0041562B">
          <w:pPr>
            <w:pStyle w:val="Footer"/>
            <w:spacing w:before="0"/>
            <w:rPr>
              <w:szCs w:val="18"/>
            </w:rPr>
          </w:pPr>
          <w:r w:rsidRPr="008B206B">
            <w:rPr>
              <w:szCs w:val="18"/>
            </w:rPr>
            <w:t xml:space="preserve">Anul </w:t>
          </w:r>
        </w:p>
        <w:p w14:paraId="77EB7363" w14:textId="404A0254" w:rsidR="00AF6222" w:rsidRPr="00E97917" w:rsidRDefault="00AF6222"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5E1B4CFD" w:rsidR="00AF6222" w:rsidRPr="008B206B" w:rsidRDefault="00AF6222" w:rsidP="00980F67">
          <w:pPr>
            <w:pStyle w:val="Footer"/>
            <w:spacing w:before="0"/>
            <w:rPr>
              <w:szCs w:val="18"/>
            </w:rPr>
          </w:pPr>
          <w:r>
            <w:rPr>
              <w:szCs w:val="18"/>
            </w:rPr>
            <w:t>Numărul 8</w:t>
          </w:r>
        </w:p>
      </w:tc>
      <w:tc>
        <w:tcPr>
          <w:tcW w:w="2650" w:type="pct"/>
          <w:vAlign w:val="center"/>
        </w:tcPr>
        <w:p w14:paraId="5CFAC056" w14:textId="4210CABB" w:rsidR="00AF6222" w:rsidRPr="00CD7AF9" w:rsidRDefault="00AF6222" w:rsidP="00980F67">
          <w:pPr>
            <w:spacing w:before="0"/>
            <w:jc w:val="center"/>
            <w:rPr>
              <w:rFonts w:ascii="Book Antiqua" w:hAnsi="Book Antiqua"/>
              <w:b/>
              <w:color w:val="000080"/>
              <w:spacing w:val="10"/>
              <w:szCs w:val="18"/>
            </w:rPr>
          </w:pPr>
          <w:r>
            <w:rPr>
              <w:rFonts w:ascii="Book Antiqua" w:hAnsi="Book Antiqua"/>
              <w:b/>
              <w:color w:val="000080"/>
              <w:spacing w:val="10"/>
              <w:szCs w:val="18"/>
            </w:rPr>
            <w:t>21 - 25</w:t>
          </w:r>
          <w:r w:rsidRPr="00C615BC">
            <w:rPr>
              <w:rFonts w:ascii="Book Antiqua" w:hAnsi="Book Antiqua"/>
              <w:b/>
              <w:color w:val="000080"/>
              <w:spacing w:val="10"/>
              <w:szCs w:val="18"/>
            </w:rPr>
            <w:t xml:space="preserve"> februarie</w:t>
          </w:r>
        </w:p>
      </w:tc>
      <w:tc>
        <w:tcPr>
          <w:tcW w:w="921" w:type="pct"/>
          <w:vAlign w:val="center"/>
        </w:tcPr>
        <w:p w14:paraId="1AB19596" w14:textId="77777777" w:rsidR="00AF6222" w:rsidRPr="008B206B" w:rsidRDefault="00AF6222"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33B61">
            <w:rPr>
              <w:noProof/>
              <w:szCs w:val="18"/>
            </w:rPr>
            <w:t>2</w:t>
          </w:r>
          <w:r w:rsidRPr="008B206B">
            <w:rPr>
              <w:szCs w:val="18"/>
            </w:rPr>
            <w:fldChar w:fldCharType="end"/>
          </w:r>
        </w:p>
      </w:tc>
    </w:tr>
    <w:tr w:rsidR="00AF6222" w:rsidRPr="006E031F" w14:paraId="5A7A2BD8" w14:textId="77777777" w:rsidTr="00E119C2">
      <w:trPr>
        <w:trHeight w:val="257"/>
      </w:trPr>
      <w:tc>
        <w:tcPr>
          <w:tcW w:w="600" w:type="pct"/>
          <w:vMerge/>
        </w:tcPr>
        <w:p w14:paraId="6C24859B" w14:textId="77777777" w:rsidR="00AF6222" w:rsidRPr="006E031F" w:rsidRDefault="00AF6222" w:rsidP="0041562B">
          <w:pPr>
            <w:spacing w:before="0"/>
            <w:jc w:val="center"/>
            <w:rPr>
              <w:rFonts w:ascii="Book Antiqua" w:hAnsi="Book Antiqua"/>
              <w:b/>
              <w:color w:val="808080"/>
              <w:szCs w:val="18"/>
            </w:rPr>
          </w:pPr>
        </w:p>
      </w:tc>
      <w:tc>
        <w:tcPr>
          <w:tcW w:w="824" w:type="pct"/>
          <w:vMerge/>
          <w:vAlign w:val="center"/>
        </w:tcPr>
        <w:p w14:paraId="50268750" w14:textId="77777777" w:rsidR="00AF6222" w:rsidRPr="006E031F" w:rsidRDefault="00AF6222" w:rsidP="0041562B">
          <w:pPr>
            <w:spacing w:before="0"/>
            <w:jc w:val="center"/>
            <w:rPr>
              <w:rFonts w:ascii="Book Antiqua" w:hAnsi="Book Antiqua"/>
              <w:b/>
              <w:color w:val="808080"/>
              <w:szCs w:val="18"/>
            </w:rPr>
          </w:pPr>
        </w:p>
      </w:tc>
      <w:tc>
        <w:tcPr>
          <w:tcW w:w="2650" w:type="pct"/>
        </w:tcPr>
        <w:p w14:paraId="7121F994" w14:textId="77777777" w:rsidR="00AF6222" w:rsidRPr="006E031F" w:rsidRDefault="00AF6222"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AF6222" w:rsidRPr="006E031F" w:rsidRDefault="00AF6222" w:rsidP="0041562B">
          <w:pPr>
            <w:spacing w:before="0"/>
            <w:rPr>
              <w:rFonts w:ascii="Book Antiqua" w:hAnsi="Book Antiqua"/>
              <w:b/>
              <w:color w:val="808080"/>
              <w:szCs w:val="18"/>
            </w:rPr>
          </w:pPr>
        </w:p>
      </w:tc>
    </w:tr>
  </w:tbl>
  <w:p w14:paraId="1BF0DCEE" w14:textId="5F76118D" w:rsidR="00AF6222" w:rsidRPr="00B445F1" w:rsidRDefault="00AF6222" w:rsidP="00EF3149">
    <w:pPr>
      <w:tabs>
        <w:tab w:val="left" w:pos="1956"/>
        <w:tab w:val="center" w:pos="4762"/>
      </w:tabs>
    </w:pPr>
    <w:r>
      <w:tab/>
    </w:r>
    <w:r>
      <w:tab/>
    </w:r>
  </w:p>
  <w:p w14:paraId="30EB9954" w14:textId="77777777" w:rsidR="00AF6222" w:rsidRDefault="00AF62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4A3F0" w14:textId="77777777" w:rsidR="00923D7B" w:rsidRDefault="00923D7B">
      <w:r>
        <w:separator/>
      </w:r>
    </w:p>
    <w:p w14:paraId="5F021FA1" w14:textId="77777777" w:rsidR="00923D7B" w:rsidRDefault="00923D7B"/>
  </w:footnote>
  <w:footnote w:type="continuationSeparator" w:id="0">
    <w:p w14:paraId="3F3750EE" w14:textId="77777777" w:rsidR="00923D7B" w:rsidRDefault="00923D7B">
      <w:r>
        <w:continuationSeparator/>
      </w:r>
    </w:p>
    <w:p w14:paraId="48288B9C" w14:textId="77777777" w:rsidR="00923D7B" w:rsidRDefault="00923D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AF6222" w:rsidRDefault="00AF6222" w:rsidP="00633305">
    <w:pPr>
      <w:pStyle w:val="Header"/>
    </w:pPr>
  </w:p>
  <w:p w14:paraId="3D4EE5EE" w14:textId="77777777" w:rsidR="00AF6222" w:rsidRDefault="00AF6222"/>
  <w:p w14:paraId="16D7B7A0" w14:textId="77777777" w:rsidR="00AF6222" w:rsidRDefault="00AF6222"/>
  <w:p w14:paraId="32F98579" w14:textId="77777777" w:rsidR="00AF6222" w:rsidRDefault="00AF62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AF6222" w:rsidRDefault="00AF6222"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F331D"/>
    <w:multiLevelType w:val="multilevel"/>
    <w:tmpl w:val="25B2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25EDC"/>
    <w:multiLevelType w:val="multilevel"/>
    <w:tmpl w:val="C742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542AD"/>
    <w:multiLevelType w:val="multilevel"/>
    <w:tmpl w:val="3ADA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D771B"/>
    <w:multiLevelType w:val="multilevel"/>
    <w:tmpl w:val="24FE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36BD5"/>
    <w:multiLevelType w:val="multilevel"/>
    <w:tmpl w:val="534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B3376"/>
    <w:multiLevelType w:val="multilevel"/>
    <w:tmpl w:val="06C2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E3FFD"/>
    <w:multiLevelType w:val="multilevel"/>
    <w:tmpl w:val="F8B8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A5B59"/>
    <w:multiLevelType w:val="multilevel"/>
    <w:tmpl w:val="5E2C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D27ED"/>
    <w:multiLevelType w:val="multilevel"/>
    <w:tmpl w:val="B0FA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C7761"/>
    <w:multiLevelType w:val="multilevel"/>
    <w:tmpl w:val="40BC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229AC"/>
    <w:multiLevelType w:val="multilevel"/>
    <w:tmpl w:val="AA10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C5BD7"/>
    <w:multiLevelType w:val="multilevel"/>
    <w:tmpl w:val="0B1A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2828A5"/>
    <w:multiLevelType w:val="multilevel"/>
    <w:tmpl w:val="F900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153C0"/>
    <w:multiLevelType w:val="multilevel"/>
    <w:tmpl w:val="6526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4B07E0"/>
    <w:multiLevelType w:val="multilevel"/>
    <w:tmpl w:val="A290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806FA9"/>
    <w:multiLevelType w:val="multilevel"/>
    <w:tmpl w:val="D2D6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B7277"/>
    <w:multiLevelType w:val="multilevel"/>
    <w:tmpl w:val="1F10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9" w15:restartNumberingAfterBreak="0">
    <w:nsid w:val="3CE615E5"/>
    <w:multiLevelType w:val="multilevel"/>
    <w:tmpl w:val="285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553A5"/>
    <w:multiLevelType w:val="multilevel"/>
    <w:tmpl w:val="5C18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AB26E0"/>
    <w:multiLevelType w:val="multilevel"/>
    <w:tmpl w:val="0D5E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E12FE6"/>
    <w:multiLevelType w:val="multilevel"/>
    <w:tmpl w:val="AD20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582BB0"/>
    <w:multiLevelType w:val="multilevel"/>
    <w:tmpl w:val="7606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120CFD"/>
    <w:multiLevelType w:val="multilevel"/>
    <w:tmpl w:val="ED88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55430"/>
    <w:multiLevelType w:val="multilevel"/>
    <w:tmpl w:val="EB92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60396"/>
    <w:multiLevelType w:val="multilevel"/>
    <w:tmpl w:val="9B1E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26B1D"/>
    <w:multiLevelType w:val="multilevel"/>
    <w:tmpl w:val="242C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B71F63"/>
    <w:multiLevelType w:val="multilevel"/>
    <w:tmpl w:val="9F60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9C2640"/>
    <w:multiLevelType w:val="multilevel"/>
    <w:tmpl w:val="2488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6D7E95"/>
    <w:multiLevelType w:val="multilevel"/>
    <w:tmpl w:val="F948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8C1A81"/>
    <w:multiLevelType w:val="multilevel"/>
    <w:tmpl w:val="09B00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082F52"/>
    <w:multiLevelType w:val="multilevel"/>
    <w:tmpl w:val="43A68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EF5235"/>
    <w:multiLevelType w:val="multilevel"/>
    <w:tmpl w:val="144E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80D10A5"/>
    <w:multiLevelType w:val="multilevel"/>
    <w:tmpl w:val="9E6C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595CE6"/>
    <w:multiLevelType w:val="multilevel"/>
    <w:tmpl w:val="6ADE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7733E4"/>
    <w:multiLevelType w:val="multilevel"/>
    <w:tmpl w:val="FD76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21FF7"/>
    <w:multiLevelType w:val="multilevel"/>
    <w:tmpl w:val="0EF2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C10DC1"/>
    <w:multiLevelType w:val="multilevel"/>
    <w:tmpl w:val="B25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EF1A95"/>
    <w:multiLevelType w:val="multilevel"/>
    <w:tmpl w:val="D948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816C04"/>
    <w:multiLevelType w:val="multilevel"/>
    <w:tmpl w:val="3D320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0A3DC8"/>
    <w:multiLevelType w:val="multilevel"/>
    <w:tmpl w:val="A142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A079C6"/>
    <w:multiLevelType w:val="multilevel"/>
    <w:tmpl w:val="F452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18"/>
  </w:num>
  <w:num w:numId="4">
    <w:abstractNumId w:val="19"/>
  </w:num>
  <w:num w:numId="5">
    <w:abstractNumId w:val="39"/>
  </w:num>
  <w:num w:numId="6">
    <w:abstractNumId w:val="42"/>
  </w:num>
  <w:num w:numId="7">
    <w:abstractNumId w:val="1"/>
  </w:num>
  <w:num w:numId="8">
    <w:abstractNumId w:val="0"/>
  </w:num>
  <w:num w:numId="9">
    <w:abstractNumId w:val="29"/>
  </w:num>
  <w:num w:numId="10">
    <w:abstractNumId w:val="30"/>
  </w:num>
  <w:num w:numId="11">
    <w:abstractNumId w:val="12"/>
  </w:num>
  <w:num w:numId="12">
    <w:abstractNumId w:val="27"/>
  </w:num>
  <w:num w:numId="13">
    <w:abstractNumId w:val="20"/>
  </w:num>
  <w:num w:numId="14">
    <w:abstractNumId w:val="2"/>
  </w:num>
  <w:num w:numId="15">
    <w:abstractNumId w:val="32"/>
  </w:num>
  <w:num w:numId="16">
    <w:abstractNumId w:val="11"/>
  </w:num>
  <w:num w:numId="17">
    <w:abstractNumId w:val="10"/>
  </w:num>
  <w:num w:numId="18">
    <w:abstractNumId w:val="13"/>
  </w:num>
  <w:num w:numId="19">
    <w:abstractNumId w:val="28"/>
  </w:num>
  <w:num w:numId="20">
    <w:abstractNumId w:val="7"/>
  </w:num>
  <w:num w:numId="21">
    <w:abstractNumId w:val="36"/>
  </w:num>
  <w:num w:numId="22">
    <w:abstractNumId w:val="17"/>
  </w:num>
  <w:num w:numId="23">
    <w:abstractNumId w:val="22"/>
  </w:num>
  <w:num w:numId="24">
    <w:abstractNumId w:val="14"/>
  </w:num>
  <w:num w:numId="25">
    <w:abstractNumId w:val="24"/>
  </w:num>
  <w:num w:numId="26">
    <w:abstractNumId w:val="4"/>
  </w:num>
  <w:num w:numId="27">
    <w:abstractNumId w:val="40"/>
  </w:num>
  <w:num w:numId="28">
    <w:abstractNumId w:val="37"/>
  </w:num>
  <w:num w:numId="29">
    <w:abstractNumId w:val="23"/>
  </w:num>
  <w:num w:numId="30">
    <w:abstractNumId w:val="43"/>
  </w:num>
  <w:num w:numId="31">
    <w:abstractNumId w:val="16"/>
  </w:num>
  <w:num w:numId="32">
    <w:abstractNumId w:val="5"/>
  </w:num>
  <w:num w:numId="33">
    <w:abstractNumId w:val="31"/>
  </w:num>
  <w:num w:numId="34">
    <w:abstractNumId w:val="3"/>
  </w:num>
  <w:num w:numId="35">
    <w:abstractNumId w:val="21"/>
  </w:num>
  <w:num w:numId="36">
    <w:abstractNumId w:val="9"/>
  </w:num>
  <w:num w:numId="37">
    <w:abstractNumId w:val="38"/>
  </w:num>
  <w:num w:numId="38">
    <w:abstractNumId w:val="25"/>
  </w:num>
  <w:num w:numId="39">
    <w:abstractNumId w:val="26"/>
  </w:num>
  <w:num w:numId="40">
    <w:abstractNumId w:val="15"/>
  </w:num>
  <w:num w:numId="41">
    <w:abstractNumId w:val="35"/>
  </w:num>
  <w:num w:numId="42">
    <w:abstractNumId w:val="6"/>
  </w:num>
  <w:num w:numId="43">
    <w:abstractNumId w:val="41"/>
  </w:num>
  <w:num w:numId="44">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D46"/>
    <w:rsid w:val="00080ABB"/>
    <w:rsid w:val="000811A0"/>
    <w:rsid w:val="000815CC"/>
    <w:rsid w:val="00081DEB"/>
    <w:rsid w:val="00081FDD"/>
    <w:rsid w:val="000822A3"/>
    <w:rsid w:val="00082BA1"/>
    <w:rsid w:val="00082D09"/>
    <w:rsid w:val="000833C0"/>
    <w:rsid w:val="0008345E"/>
    <w:rsid w:val="00083B64"/>
    <w:rsid w:val="00083D18"/>
    <w:rsid w:val="00084436"/>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69"/>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084"/>
    <w:rsid w:val="000E0363"/>
    <w:rsid w:val="000E06AC"/>
    <w:rsid w:val="000E0D6A"/>
    <w:rsid w:val="000E0E1A"/>
    <w:rsid w:val="000E1549"/>
    <w:rsid w:val="000E1670"/>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4A5"/>
    <w:rsid w:val="001C65EC"/>
    <w:rsid w:val="001C6AA4"/>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562"/>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CDC"/>
    <w:rsid w:val="002E2F40"/>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B3D"/>
    <w:rsid w:val="00300B6C"/>
    <w:rsid w:val="00301E85"/>
    <w:rsid w:val="003026C4"/>
    <w:rsid w:val="003027D3"/>
    <w:rsid w:val="00302ECE"/>
    <w:rsid w:val="00304281"/>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5A7"/>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AEF"/>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80"/>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5D66"/>
    <w:rsid w:val="003B61AA"/>
    <w:rsid w:val="003B62AE"/>
    <w:rsid w:val="003B67AD"/>
    <w:rsid w:val="003B686F"/>
    <w:rsid w:val="003B735E"/>
    <w:rsid w:val="003B752D"/>
    <w:rsid w:val="003B77C7"/>
    <w:rsid w:val="003B788C"/>
    <w:rsid w:val="003B7D7A"/>
    <w:rsid w:val="003C013D"/>
    <w:rsid w:val="003C03E5"/>
    <w:rsid w:val="003C0F29"/>
    <w:rsid w:val="003C1066"/>
    <w:rsid w:val="003C11FE"/>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B1E"/>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4D"/>
    <w:rsid w:val="00480D7D"/>
    <w:rsid w:val="00481098"/>
    <w:rsid w:val="00481669"/>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187"/>
    <w:rsid w:val="004E03BF"/>
    <w:rsid w:val="004E0AA8"/>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6D3E"/>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459"/>
    <w:rsid w:val="005E14C9"/>
    <w:rsid w:val="005E1544"/>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15C1"/>
    <w:rsid w:val="005F22B5"/>
    <w:rsid w:val="005F2A7C"/>
    <w:rsid w:val="005F3870"/>
    <w:rsid w:val="005F3E24"/>
    <w:rsid w:val="005F3E31"/>
    <w:rsid w:val="005F410E"/>
    <w:rsid w:val="005F4405"/>
    <w:rsid w:val="005F471B"/>
    <w:rsid w:val="005F544C"/>
    <w:rsid w:val="005F5D10"/>
    <w:rsid w:val="005F5ECC"/>
    <w:rsid w:val="005F657D"/>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BE"/>
    <w:rsid w:val="00623ACA"/>
    <w:rsid w:val="00623D92"/>
    <w:rsid w:val="00623FC7"/>
    <w:rsid w:val="006241FA"/>
    <w:rsid w:val="006246BC"/>
    <w:rsid w:val="0062475B"/>
    <w:rsid w:val="00624C99"/>
    <w:rsid w:val="00624ED1"/>
    <w:rsid w:val="0062542D"/>
    <w:rsid w:val="00625CE4"/>
    <w:rsid w:val="00625FF4"/>
    <w:rsid w:val="006260E1"/>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78A"/>
    <w:rsid w:val="006C6813"/>
    <w:rsid w:val="006C6A35"/>
    <w:rsid w:val="006C6D31"/>
    <w:rsid w:val="006C6E36"/>
    <w:rsid w:val="006D02EE"/>
    <w:rsid w:val="006D0B82"/>
    <w:rsid w:val="006D10ED"/>
    <w:rsid w:val="006D1915"/>
    <w:rsid w:val="006D214F"/>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700F1"/>
    <w:rsid w:val="00770383"/>
    <w:rsid w:val="0077045F"/>
    <w:rsid w:val="007706D7"/>
    <w:rsid w:val="007707C2"/>
    <w:rsid w:val="00770AB9"/>
    <w:rsid w:val="007711A2"/>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D0"/>
    <w:rsid w:val="007A0A94"/>
    <w:rsid w:val="007A0C7D"/>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1EB"/>
    <w:rsid w:val="007A55E3"/>
    <w:rsid w:val="007A572E"/>
    <w:rsid w:val="007A59E8"/>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A18"/>
    <w:rsid w:val="007C2665"/>
    <w:rsid w:val="007C2756"/>
    <w:rsid w:val="007C2BE3"/>
    <w:rsid w:val="007C3119"/>
    <w:rsid w:val="007C34B3"/>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0DB3"/>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B0E"/>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FE"/>
    <w:rsid w:val="00AC1258"/>
    <w:rsid w:val="00AC138C"/>
    <w:rsid w:val="00AC14E6"/>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0B94"/>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72D"/>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4F9"/>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70B"/>
    <w:rsid w:val="00D15BC5"/>
    <w:rsid w:val="00D15C6F"/>
    <w:rsid w:val="00D16198"/>
    <w:rsid w:val="00D16472"/>
    <w:rsid w:val="00D1653E"/>
    <w:rsid w:val="00D16766"/>
    <w:rsid w:val="00D16843"/>
    <w:rsid w:val="00D17040"/>
    <w:rsid w:val="00D17A00"/>
    <w:rsid w:val="00D17E92"/>
    <w:rsid w:val="00D20AA0"/>
    <w:rsid w:val="00D21317"/>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27E62"/>
    <w:rsid w:val="00F303BD"/>
    <w:rsid w:val="00F31591"/>
    <w:rsid w:val="00F31944"/>
    <w:rsid w:val="00F3221C"/>
    <w:rsid w:val="00F32C81"/>
    <w:rsid w:val="00F32F13"/>
    <w:rsid w:val="00F33952"/>
    <w:rsid w:val="00F33B61"/>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3C"/>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EEF"/>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17083B"/>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opa.eu/youth/strategy_ro" TargetMode="External"/><Relationship Id="rId117" Type="http://schemas.openxmlformats.org/officeDocument/2006/relationships/hyperlink" Target="javascript:void(0)" TargetMode="External"/><Relationship Id="rId21" Type="http://schemas.openxmlformats.org/officeDocument/2006/relationships/hyperlink" Target="https://www.consolid8.ro/" TargetMode="External"/><Relationship Id="rId42" Type="http://schemas.openxmlformats.org/officeDocument/2006/relationships/hyperlink" Target="https://ec.europa.eu/regional_policy/en/newsroom/coronavirus-response/react-eu/" TargetMode="External"/><Relationship Id="rId47" Type="http://schemas.openxmlformats.org/officeDocument/2006/relationships/image" Target="media/image10.jpeg"/><Relationship Id="rId63" Type="http://schemas.openxmlformats.org/officeDocument/2006/relationships/hyperlink" Target="https://ec.europa.eu/commission/presscorner/detail/ro/ip_20_273" TargetMode="External"/><Relationship Id="rId68" Type="http://schemas.openxmlformats.org/officeDocument/2006/relationships/hyperlink" Target="javascript:void(0)" TargetMode="External"/><Relationship Id="rId84" Type="http://schemas.openxmlformats.org/officeDocument/2006/relationships/hyperlink" Target="https://ec.europa.eu/info/strategy/priorities-2019-2024/europe-fit-digital-age/european-data-strategy_en" TargetMode="External"/><Relationship Id="rId89" Type="http://schemas.openxmlformats.org/officeDocument/2006/relationships/hyperlink" Target="javascript:void(0)" TargetMode="External"/><Relationship Id="rId112" Type="http://schemas.openxmlformats.org/officeDocument/2006/relationships/hyperlink" Target="https://twitter.com/EU_Growth" TargetMode="External"/><Relationship Id="rId133" Type="http://schemas.openxmlformats.org/officeDocument/2006/relationships/hyperlink" Target="https://op.europa.eu/en/publication-detail/-/publication/8ba0a8fd-4c83-11ea-b8b7-01aa75ed71a1/language-en" TargetMode="External"/><Relationship Id="rId138" Type="http://schemas.openxmlformats.org/officeDocument/2006/relationships/hyperlink" Target="https://ec.europa.eu/commission/presscorner/detail/ro/fs_22_1147" TargetMode="External"/><Relationship Id="rId154" Type="http://schemas.openxmlformats.org/officeDocument/2006/relationships/hyperlink" Target="mailto:prefhd@comser.ro" TargetMode="External"/><Relationship Id="rId159" Type="http://schemas.openxmlformats.org/officeDocument/2006/relationships/fontTable" Target="fontTable.xml"/><Relationship Id="rId16" Type="http://schemas.openxmlformats.org/officeDocument/2006/relationships/hyperlink" Target="https://www.fonduri-structurale.ro/descarca-document/35363" TargetMode="External"/><Relationship Id="rId107" Type="http://schemas.openxmlformats.org/officeDocument/2006/relationships/hyperlink" Target="https://ec.europa.eu/info/strategy/priorities-2019-2024/europe-fit-digital-age/european-industrial-strategy/second-depth-review-strategic-areas-europes-interests_en" TargetMode="External"/><Relationship Id="rId11" Type="http://schemas.openxmlformats.org/officeDocument/2006/relationships/image" Target="media/image4.png"/><Relationship Id="rId32" Type="http://schemas.openxmlformats.org/officeDocument/2006/relationships/hyperlink" Target="https://europa.eu/youth/home_ro" TargetMode="External"/><Relationship Id="rId37" Type="http://schemas.openxmlformats.org/officeDocument/2006/relationships/hyperlink" Target="https://apply.new-european-bauhaus-festival.eu/" TargetMode="External"/><Relationship Id="rId53" Type="http://schemas.openxmlformats.org/officeDocument/2006/relationships/hyperlink" Target="https://www.iiea.com/" TargetMode="External"/><Relationship Id="rId58" Type="http://schemas.openxmlformats.org/officeDocument/2006/relationships/hyperlink" Target="https://futureu.europa.eu/rails/active_storage/blobs/eyJfcmFpbHMiOnsibWVzc2FnZSI6IkJBaHBBa2l0IiwiZXhwIjpudWxsLCJwdXIiOiJibG9iX2lkIn19--cda013ebdb25f6fb205c5db161d56f938d48b2e0/Panel%202%20session%203%20Report_FINAL.pdf" TargetMode="External"/><Relationship Id="rId74" Type="http://schemas.openxmlformats.org/officeDocument/2006/relationships/hyperlink" Target="https://ec.europa.eu/commission/presscorner/detail/ro/IP_20_2102" TargetMode="External"/><Relationship Id="rId79" Type="http://schemas.openxmlformats.org/officeDocument/2006/relationships/hyperlink" Target="javascript:void(0)" TargetMode="External"/><Relationship Id="rId102" Type="http://schemas.openxmlformats.org/officeDocument/2006/relationships/hyperlink" Target="https://ec.europa.eu/info/files/staff-working-document-strategic-dependencies-and-capacities_en" TargetMode="External"/><Relationship Id="rId123" Type="http://schemas.openxmlformats.org/officeDocument/2006/relationships/hyperlink" Target="http://ec.europa.eu/social/BlobServlet?docId=25260&amp;langId=en" TargetMode="External"/><Relationship Id="rId128" Type="http://schemas.openxmlformats.org/officeDocument/2006/relationships/hyperlink" Target="javascript:void(0)" TargetMode="External"/><Relationship Id="rId144" Type="http://schemas.openxmlformats.org/officeDocument/2006/relationships/hyperlink" Target="javascript:void(0)" TargetMode="External"/><Relationship Id="rId149" Type="http://schemas.openxmlformats.org/officeDocument/2006/relationships/hyperlink" Target="https://ec.europa.eu/health/health-security-and-infectious-diseases/crisis-management/covid-19-diagnostic-tests_en" TargetMode="External"/><Relationship Id="rId5" Type="http://schemas.openxmlformats.org/officeDocument/2006/relationships/webSettings" Target="webSettings.xml"/><Relationship Id="rId90" Type="http://schemas.openxmlformats.org/officeDocument/2006/relationships/hyperlink" Target="https://digital-strategy.ec.europa.eu/en/policies/private-sector-data-sharing" TargetMode="External"/><Relationship Id="rId95" Type="http://schemas.openxmlformats.org/officeDocument/2006/relationships/hyperlink" Target="javascript:void(0)" TargetMode="External"/><Relationship Id="rId160" Type="http://schemas.openxmlformats.org/officeDocument/2006/relationships/theme" Target="theme/theme1.xml"/><Relationship Id="rId22" Type="http://schemas.openxmlformats.org/officeDocument/2006/relationships/hyperlink" Target="https://www.fonduri-structurale.ro/alte-finantari/570/programul-capitala-tineretului-din-romania-apel-destinat-oraselor-ce-propun-proiecte-de-dezvoltare-concrete-cu-participarea-activa-a-tinerilor" TargetMode="External"/><Relationship Id="rId27" Type="http://schemas.openxmlformats.org/officeDocument/2006/relationships/hyperlink" Target="https://erasmus-plus.ec.europa.eu/ro" TargetMode="External"/><Relationship Id="rId43" Type="http://schemas.openxmlformats.org/officeDocument/2006/relationships/hyperlink" Target="javascript:void(0)" TargetMode="External"/><Relationship Id="rId48" Type="http://schemas.openxmlformats.org/officeDocument/2006/relationships/hyperlink" Target="https://erasmus-plus.ec.europa.eu/programme-guide/part-b/key-action-2/teacher-academies" TargetMode="External"/><Relationship Id="rId64" Type="http://schemas.openxmlformats.org/officeDocument/2006/relationships/hyperlink" Target="javascript:void(0)" TargetMode="External"/><Relationship Id="rId69" Type="http://schemas.openxmlformats.org/officeDocument/2006/relationships/hyperlink" Target="https://digital-strategy.ec.europa.eu/news-redirect/736383" TargetMode="External"/><Relationship Id="rId113" Type="http://schemas.openxmlformats.org/officeDocument/2006/relationships/hyperlink" Target="http://ec.europa.eu/social/BlobServlet?docId=25260&amp;langId=en" TargetMode="External"/><Relationship Id="rId118" Type="http://schemas.openxmlformats.org/officeDocument/2006/relationships/hyperlink" Target="https://www.ilo.org/global/topics/decent-work/lang--en/index.htm" TargetMode="External"/><Relationship Id="rId134" Type="http://schemas.openxmlformats.org/officeDocument/2006/relationships/hyperlink" Target="javascript:void(0)" TargetMode="External"/><Relationship Id="rId139" Type="http://schemas.openxmlformats.org/officeDocument/2006/relationships/hyperlink" Target="javascript:void(0)" TargetMode="External"/><Relationship Id="rId80" Type="http://schemas.openxmlformats.org/officeDocument/2006/relationships/hyperlink" Target="https://ec.europa.eu/commission/presscorner/detail/en/qanda_22_1114" TargetMode="External"/><Relationship Id="rId85" Type="http://schemas.openxmlformats.org/officeDocument/2006/relationships/hyperlink" Target="javascript:void(0)" TargetMode="External"/><Relationship Id="rId150" Type="http://schemas.openxmlformats.org/officeDocument/2006/relationships/hyperlink" Target="javascript:void(0)" TargetMode="External"/><Relationship Id="rId155" Type="http://schemas.openxmlformats.org/officeDocument/2006/relationships/hyperlink" Target="mailto:prefhd@comser.ro" TargetMode="External"/><Relationship Id="rId12" Type="http://schemas.openxmlformats.org/officeDocument/2006/relationships/hyperlink" Target="http://get.adobe.com/reader/" TargetMode="External"/><Relationship Id="rId17" Type="http://schemas.openxmlformats.org/officeDocument/2006/relationships/hyperlink" Target="https://www.fonduri-structurale.ro/descarca-document/35356" TargetMode="External"/><Relationship Id="rId33" Type="http://schemas.openxmlformats.org/officeDocument/2006/relationships/hyperlink" Target="https://ec.europa.eu/commission/presscorner/detail/ro/IP_21_5226" TargetMode="External"/><Relationship Id="rId38" Type="http://schemas.openxmlformats.org/officeDocument/2006/relationships/hyperlink" Target="https://www.fonduri-structurale.ro/alte-finantari/573/mecanismul-financiar-norvegian-2014-2021-programul-energetic-in-romania-cunostinte-sporite-despre-energie-regenerabila-eficienta-energetica" TargetMode="External"/><Relationship Id="rId59" Type="http://schemas.openxmlformats.org/officeDocument/2006/relationships/hyperlink" Target="https://futureu.europa.eu/rails/active_storage/blobs/eyJfcmFpbHMiOnsibWVzc2FnZSI6IkJBaHBBcFdyIiwiZXhwIjpudWxsLCJwdXIiOiJibG9iX2lkIn19--a45418e437059870ee63d47dcb4b8565a8ea35a9/Panel%203%20session%203%20Report_v2022.01.12_final.pdf"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hyperlink" Target="https://ec.europa.eu/info/strategy/priorities-2019-2024/economy-works-people/jobs-growth-and-investment/european-pillar-social-rights_ro" TargetMode="External"/><Relationship Id="rId129" Type="http://schemas.openxmlformats.org/officeDocument/2006/relationships/hyperlink" Target="https://ec.europa.eu/info/law/better-regulation/have-your-say/initiatives/12548-Sustainable-corporate-governance/public-consultation_en" TargetMode="External"/><Relationship Id="rId20" Type="http://schemas.openxmlformats.org/officeDocument/2006/relationships/hyperlink" Target="https://docs.google.com/forms/d/118FkqhYBpvpcgupozLRN8ApGZoPk3WHJj7WoINxL2tg/viewform?edit_requested=true" TargetMode="External"/><Relationship Id="rId41" Type="http://schemas.openxmlformats.org/officeDocument/2006/relationships/image" Target="media/image8.png"/><Relationship Id="rId54" Type="http://schemas.openxmlformats.org/officeDocument/2006/relationships/hyperlink" Target="https://futureu.europa.eu/?locale=en" TargetMode="External"/><Relationship Id="rId62" Type="http://schemas.openxmlformats.org/officeDocument/2006/relationships/image" Target="media/image13.png"/><Relationship Id="rId70" Type="http://schemas.openxmlformats.org/officeDocument/2006/relationships/hyperlink" Target="https://eur-lex.europa.eu/legal-content/RO/TXT/PDF/?uri=CELEX:52020PC0767&amp;from=EN" TargetMode="External"/><Relationship Id="rId75" Type="http://schemas.openxmlformats.org/officeDocument/2006/relationships/hyperlink" Target="javascript:void(0)" TargetMode="External"/><Relationship Id="rId83" Type="http://schemas.openxmlformats.org/officeDocument/2006/relationships/hyperlink" Target="https://digital-strategy.ec.europa.eu/news-redirect/736379" TargetMode="External"/><Relationship Id="rId88" Type="http://schemas.openxmlformats.org/officeDocument/2006/relationships/hyperlink" Target="https://digital-strategy.ec.europa.eu/en/library/meetings-expert-group-business-government-data-sharing" TargetMode="External"/><Relationship Id="rId91" Type="http://schemas.openxmlformats.org/officeDocument/2006/relationships/hyperlink" Target="javascript:void(0)" TargetMode="External"/><Relationship Id="rId96" Type="http://schemas.openxmlformats.org/officeDocument/2006/relationships/hyperlink" Target="https://ec.europa.eu/commission/presscorner/detail/ro/IP_21_1884" TargetMode="External"/><Relationship Id="rId111" Type="http://schemas.openxmlformats.org/officeDocument/2006/relationships/hyperlink" Target="https://twitter.com/EU_Commission" TargetMode="External"/><Relationship Id="rId132" Type="http://schemas.openxmlformats.org/officeDocument/2006/relationships/hyperlink" Target="javascript:void(0)" TargetMode="External"/><Relationship Id="rId140" Type="http://schemas.openxmlformats.org/officeDocument/2006/relationships/hyperlink" Target="https://ec.europa.eu/info/business-economy-euro/doing-business-eu/package-sustainable-corporate-governance-and-human-rights-and-environmental-due-diligence_ro" TargetMode="External"/><Relationship Id="rId145" Type="http://schemas.openxmlformats.org/officeDocument/2006/relationships/hyperlink" Target="https://www.unep.org/news-and-stories/story/methane-emissions-are-driving-climate-change-heres-how-reduce-them" TargetMode="External"/><Relationship Id="rId153"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onduri-structurale.ro/descarca-document/35374" TargetMode="External"/><Relationship Id="rId23" Type="http://schemas.openxmlformats.org/officeDocument/2006/relationships/image" Target="media/image7.png"/><Relationship Id="rId28" Type="http://schemas.openxmlformats.org/officeDocument/2006/relationships/hyperlink" Target="https://europa.eu/youth/solidarity_ro" TargetMode="External"/><Relationship Id="rId36" Type="http://schemas.openxmlformats.org/officeDocument/2006/relationships/hyperlink" Target="https://www.fonduri-structurale.ro/descarca-document/35426" TargetMode="External"/><Relationship Id="rId49" Type="http://schemas.openxmlformats.org/officeDocument/2006/relationships/image" Target="media/image11.png"/><Relationship Id="rId57" Type="http://schemas.openxmlformats.org/officeDocument/2006/relationships/hyperlink" Target="https://futureu.europa.eu/assemblies/citizens-panels/" TargetMode="External"/><Relationship Id="rId106" Type="http://schemas.openxmlformats.org/officeDocument/2006/relationships/hyperlink" Target="https://ec.europa.eu/docsroom/documents/48878" TargetMode="External"/><Relationship Id="rId114" Type="http://schemas.openxmlformats.org/officeDocument/2006/relationships/image" Target="media/image15.png"/><Relationship Id="rId119" Type="http://schemas.openxmlformats.org/officeDocument/2006/relationships/hyperlink" Target="https://ec.europa.eu/info/sites/default/files/political-guidelines-next-commission_en_0.pdf" TargetMode="External"/><Relationship Id="rId127" Type="http://schemas.openxmlformats.org/officeDocument/2006/relationships/hyperlink" Target="https://ec.europa.eu/commission/presscorner/detail/ro/ip_22_1187" TargetMode="External"/><Relationship Id="rId10" Type="http://schemas.openxmlformats.org/officeDocument/2006/relationships/image" Target="media/image3.jpeg"/><Relationship Id="rId31" Type="http://schemas.openxmlformats.org/officeDocument/2006/relationships/hyperlink" Target="https://futureu.europa.eu/?locale=ro" TargetMode="External"/><Relationship Id="rId44" Type="http://schemas.openxmlformats.org/officeDocument/2006/relationships/hyperlink" Target="https://ec.europa.eu/info/strategy/recovery-plan-europe_en" TargetMode="External"/><Relationship Id="rId52" Type="http://schemas.openxmlformats.org/officeDocument/2006/relationships/hyperlink" Target="https://futureu.europa.eu/assemblies/citizens-panels/f/298/" TargetMode="External"/><Relationship Id="rId60" Type="http://schemas.openxmlformats.org/officeDocument/2006/relationships/hyperlink" Target="https://futureu.europa.eu/pages/plenary" TargetMode="External"/><Relationship Id="rId65" Type="http://schemas.openxmlformats.org/officeDocument/2006/relationships/hyperlink" Target="https://ec.europa.eu/commission/presscorner/detail/ro/ip_20_273" TargetMode="External"/><Relationship Id="rId73" Type="http://schemas.openxmlformats.org/officeDocument/2006/relationships/hyperlink" Target="javascript:void(0)" TargetMode="External"/><Relationship Id="rId78" Type="http://schemas.openxmlformats.org/officeDocument/2006/relationships/hyperlink" Target="https://digital-strategy.ec.europa.eu/en/news/data-act-businesses-and-citizens-favour-fair-data-economy" TargetMode="External"/><Relationship Id="rId81" Type="http://schemas.openxmlformats.org/officeDocument/2006/relationships/hyperlink" Target="javascript:void(0)" TargetMode="External"/><Relationship Id="rId86" Type="http://schemas.openxmlformats.org/officeDocument/2006/relationships/hyperlink" Target="https://eur-lex.europa.eu/legal-content/RO/TXT/PDF/?uri=CELEX:52020PC0767&amp;from=EN" TargetMode="External"/><Relationship Id="rId94" Type="http://schemas.openxmlformats.org/officeDocument/2006/relationships/hyperlink" Target="https://ec.europa.eu/commission/presscorner/detail/ro/IP_21_1884"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ec.europa.eu/social/BlobServlet?docId=23696&amp;langId=en" TargetMode="External"/><Relationship Id="rId130" Type="http://schemas.openxmlformats.org/officeDocument/2006/relationships/hyperlink" Target="javascript:void(0)" TargetMode="External"/><Relationship Id="rId135" Type="http://schemas.openxmlformats.org/officeDocument/2006/relationships/hyperlink" Target="https://ec.europa.eu/info/publications/proposal-directive-corporate-sustainable-due-diligence-and-annexes" TargetMode="External"/><Relationship Id="rId143" Type="http://schemas.openxmlformats.org/officeDocument/2006/relationships/hyperlink" Target="https://www.efsa.europa.eu/en/efsajournal/pub/6905" TargetMode="External"/><Relationship Id="rId148" Type="http://schemas.openxmlformats.org/officeDocument/2006/relationships/hyperlink" Target="javascript:void(0)" TargetMode="External"/><Relationship Id="rId151" Type="http://schemas.openxmlformats.org/officeDocument/2006/relationships/hyperlink" Target="https://ec.europa.eu/info/live-work-travel-eu/coronavirus-response/safe-covid-19-vaccines-europeans/eu-digital-covid-certificate_en" TargetMode="External"/><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onitoruloficial.ro/RO/article--e-Monitor.html" TargetMode="External"/><Relationship Id="rId18" Type="http://schemas.openxmlformats.org/officeDocument/2006/relationships/image" Target="media/image6.png"/><Relationship Id="rId39" Type="http://schemas.openxmlformats.org/officeDocument/2006/relationships/hyperlink" Target="https://www.fonduri-structurale.ro/alte-finantari/572/kaufland-romania-si-asociatia-act-for-tomorrow-start-ong-editia-2022" TargetMode="External"/><Relationship Id="rId109" Type="http://schemas.openxmlformats.org/officeDocument/2006/relationships/hyperlink" Target="https://ec.europa.eu/info/strategy/priorities-2019-2024/europe-fit-digital-age/european-industrial-strategy_ro" TargetMode="External"/><Relationship Id="rId34" Type="http://schemas.openxmlformats.org/officeDocument/2006/relationships/hyperlink" Target="https://europa.eu/youth/home_ro" TargetMode="External"/><Relationship Id="rId50" Type="http://schemas.openxmlformats.org/officeDocument/2006/relationships/hyperlink" Target="https://ec.europa.eu/info/funding-tenders/opportunities/portal/screen/opportunities/topic-details/erasmus-edu-2022-pex-teach-aca" TargetMode="External"/><Relationship Id="rId55" Type="http://schemas.openxmlformats.org/officeDocument/2006/relationships/hyperlink" Target="https://futureu.europa.eu/rails/active_storage/blobs/eyJfcmFpbHMiOnsibWVzc2FnZSI6IkJBaHBBanc5IiwiZXhwIjpudWxsLCJwdXIiOiJibG9iX2lkIn19--b2e86523345f6fa89603ed1427e6bfede84e7266/Panel%201%20session%201%20Report_FINAL.pdf" TargetMode="External"/><Relationship Id="rId76" Type="http://schemas.openxmlformats.org/officeDocument/2006/relationships/hyperlink" Target="https://ec.europa.eu/commission/presscorner/detail/ro/ip_21_6428" TargetMode="External"/><Relationship Id="rId97" Type="http://schemas.openxmlformats.org/officeDocument/2006/relationships/hyperlink" Target="javascript:void(0)" TargetMode="External"/><Relationship Id="rId104" Type="http://schemas.openxmlformats.org/officeDocument/2006/relationships/hyperlink" Target="https://ec.europa.eu/info/strategy/priorities-2019-2024/europe-fit-digital-age/european-industrial-strategy/depth-reviews-strategic-areas-europes-interests_en" TargetMode="External"/><Relationship Id="rId120" Type="http://schemas.openxmlformats.org/officeDocument/2006/relationships/hyperlink" Target="https://ec.europa.eu/commission/presscorner/detail/ro/SPEECH_21_4701" TargetMode="External"/><Relationship Id="rId125" Type="http://schemas.openxmlformats.org/officeDocument/2006/relationships/hyperlink" Target="javascript:void(0)" TargetMode="External"/><Relationship Id="rId141" Type="http://schemas.openxmlformats.org/officeDocument/2006/relationships/hyperlink" Target="javascript:void(0)" TargetMode="External"/><Relationship Id="rId14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ec.europa.eu/docsroom/documents/48878" TargetMode="External"/><Relationship Id="rId2" Type="http://schemas.openxmlformats.org/officeDocument/2006/relationships/numbering" Target="numbering.xml"/><Relationship Id="rId29" Type="http://schemas.openxmlformats.org/officeDocument/2006/relationships/hyperlink" Target="https://europa.eu/next-generation-eu/index_ro" TargetMode="External"/><Relationship Id="rId24" Type="http://schemas.openxmlformats.org/officeDocument/2006/relationships/hyperlink" Target="https://ec.europa.eu/commission/presscorner/detail/ro/SPEECH_21_4701" TargetMode="External"/><Relationship Id="rId40" Type="http://schemas.openxmlformats.org/officeDocument/2006/relationships/hyperlink" Target="https://www.fonduri-structurale.ro/alte-finantari/571/musicaire-apel-de-proiecte-adresat-redresarii-sectorului-muzical-in-europa-ca-urmare-a-efectelor-produse-de-covid-19"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javascript:void(0)" TargetMode="External"/><Relationship Id="rId115" Type="http://schemas.openxmlformats.org/officeDocument/2006/relationships/hyperlink" Target="http://ec.europa.eu/social/BlobServlet?docId=25260&amp;langId=en" TargetMode="External"/><Relationship Id="rId131" Type="http://schemas.openxmlformats.org/officeDocument/2006/relationships/hyperlink" Target="https://op.europa.eu/en/publication-detail/-/publication/e47928a2-d20b-11ea-adf7-01aa75ed71a1/language-en" TargetMode="External"/><Relationship Id="rId136" Type="http://schemas.openxmlformats.org/officeDocument/2006/relationships/hyperlink" Target="https://ec.europa.eu/commission/presscorner/detail/ro/qanda_22_1146" TargetMode="External"/><Relationship Id="rId157" Type="http://schemas.openxmlformats.org/officeDocument/2006/relationships/header" Target="header2.xml"/><Relationship Id="rId61" Type="http://schemas.openxmlformats.org/officeDocument/2006/relationships/hyperlink" Target="https://futureu.europa.eu/rails/active_storage/blobs/eyJfcmFpbHMiOnsibWVzc2FnZSI6IkJBaHBBbGpWIiwiZXhwIjpudWxsLCJwdXIiOiJibG9iX2lkIn19--e7d54308f8f62d7e32b006d66710de2577811c80/Panel%204%20S3%20Recommendations_FINAL_v%202022.02.14.pdf" TargetMode="External"/><Relationship Id="rId82" Type="http://schemas.openxmlformats.org/officeDocument/2006/relationships/hyperlink" Target="https://digital-strategy.ec.europa.eu/news-redirect/736381" TargetMode="External"/><Relationship Id="rId152" Type="http://schemas.openxmlformats.org/officeDocument/2006/relationships/hyperlink" Target="javascript:void(0)" TargetMode="External"/><Relationship Id="rId19" Type="http://schemas.openxmlformats.org/officeDocument/2006/relationships/hyperlink" Target="https://institutfrancais.ro/ret2022/" TargetMode="External"/><Relationship Id="rId14" Type="http://schemas.openxmlformats.org/officeDocument/2006/relationships/image" Target="media/image5.png"/><Relationship Id="rId30" Type="http://schemas.openxmlformats.org/officeDocument/2006/relationships/hyperlink" Target="https://europa.eu/youth/news/european-year-youth-online-survey-results-are-out_ro" TargetMode="External"/><Relationship Id="rId35" Type="http://schemas.openxmlformats.org/officeDocument/2006/relationships/hyperlink" Target="https://europa.eu/youth/news/european-year-youth-online-survey-results-are-out_ro" TargetMode="External"/><Relationship Id="rId56" Type="http://schemas.openxmlformats.org/officeDocument/2006/relationships/hyperlink" Target="https://futureu.europa.eu/rails/active_storage/blobs/eyJfcmFpbHMiOnsibWVzc2FnZSI6IkJBaHBBbEZ4IiwiZXhwIjpudWxsLCJwdXIiOiJibG9iX2lkIn19--355c6eae3947a90ce3b724952a23a95f58766e7d/Panel%201%20session%202%20Report_FINAL.pdf" TargetMode="External"/><Relationship Id="rId77" Type="http://schemas.openxmlformats.org/officeDocument/2006/relationships/hyperlink" Target="javascript:void(0)" TargetMode="External"/><Relationship Id="rId100" Type="http://schemas.openxmlformats.org/officeDocument/2006/relationships/hyperlink" Target="https://ec.europa.eu/info/strategy/priorities-2019-2024/europe-fit-digital-age/european-industrial-strategy_ro" TargetMode="External"/><Relationship Id="rId105" Type="http://schemas.openxmlformats.org/officeDocument/2006/relationships/hyperlink" Target="javascript:void(0)" TargetMode="External"/><Relationship Id="rId126" Type="http://schemas.openxmlformats.org/officeDocument/2006/relationships/image" Target="media/image16.png"/><Relationship Id="rId147" Type="http://schemas.openxmlformats.org/officeDocument/2006/relationships/hyperlink" Target="https://ec.europa.eu/info/files/commission-delegated-regulation-amending-regulation-eu-2021-953-regards-issuance-certificates-recovery-based-rapid-antigen-tests_en"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https://digital-strategy.ec.europa.eu/en/policies/strategy-data" TargetMode="External"/><Relationship Id="rId93" Type="http://schemas.openxmlformats.org/officeDocument/2006/relationships/image" Target="media/image14.png"/><Relationship Id="rId98" Type="http://schemas.openxmlformats.org/officeDocument/2006/relationships/hyperlink" Target="https://ec.europa.eu/info/strategy/priorities-2019-2024/europe-fit-digital-age/european-industrial-strategy_ro" TargetMode="External"/><Relationship Id="rId121" Type="http://schemas.openxmlformats.org/officeDocument/2006/relationships/hyperlink" Target="javascript:void(0)" TargetMode="External"/><Relationship Id="rId142" Type="http://schemas.openxmlformats.org/officeDocument/2006/relationships/image" Target="media/image17.png"/><Relationship Id="rId3" Type="http://schemas.openxmlformats.org/officeDocument/2006/relationships/styles" Target="styles.xml"/><Relationship Id="rId25" Type="http://schemas.openxmlformats.org/officeDocument/2006/relationships/hyperlink" Target="https://ec.europa.eu/commission/presscorner/detail/ro/IP_21_5226" TargetMode="External"/><Relationship Id="rId46" Type="http://schemas.openxmlformats.org/officeDocument/2006/relationships/image" Target="media/image9.png"/><Relationship Id="rId67" Type="http://schemas.openxmlformats.org/officeDocument/2006/relationships/hyperlink" Target="https://eur-lex.europa.eu/legal-content/RO/TXT/PDF/?uri=CELEX:01996L0009-20190606&amp;from=EN" TargetMode="External"/><Relationship Id="rId116" Type="http://schemas.openxmlformats.org/officeDocument/2006/relationships/hyperlink" Target="https://ec.europa.eu/commission/presscorner/detail/ro/SPEECH_21_4701" TargetMode="External"/><Relationship Id="rId137" Type="http://schemas.openxmlformats.org/officeDocument/2006/relationships/hyperlink" Target="javascript:void(0)" TargetMode="External"/><Relationship Id="rId15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C5169-590D-4D1A-A3E7-C818A2AF0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179</TotalTime>
  <Pages>35</Pages>
  <Words>19845</Words>
  <Characters>115102</Characters>
  <Application>Microsoft Office Word</Application>
  <DocSecurity>0</DocSecurity>
  <Lines>959</Lines>
  <Paragraphs>269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134678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12</cp:revision>
  <cp:lastPrinted>2022-02-28T09:11:00Z</cp:lastPrinted>
  <dcterms:created xsi:type="dcterms:W3CDTF">2022-02-28T06:07:00Z</dcterms:created>
  <dcterms:modified xsi:type="dcterms:W3CDTF">2022-02-28T09:11:00Z</dcterms:modified>
</cp:coreProperties>
</file>