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3A622606" w:rsidR="006870C9" w:rsidRPr="006870C9" w:rsidRDefault="008652DB" w:rsidP="006870C9">
      <w:pPr>
        <w:jc w:val="center"/>
      </w:pPr>
      <w:bookmarkStart w:id="0" w:name="_GoBack"/>
      <w:bookmarkEnd w:id="0"/>
      <w:r w:rsidRPr="00F50627">
        <w:rPr>
          <w:b/>
          <w:bCs/>
          <w:i/>
          <w:iCs/>
          <w:noProof/>
          <w:sz w:val="24"/>
          <w:szCs w:val="15"/>
          <w:lang w:eastAsia="ro-RO"/>
        </w:rPr>
        <w:drawing>
          <wp:anchor distT="0" distB="0" distL="114300" distR="114300" simplePos="0" relativeHeight="251937792" behindDoc="0" locked="0" layoutInCell="1" allowOverlap="1" wp14:anchorId="28DE11E7" wp14:editId="625995A9">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315E3B" w14:textId="772A0159" w:rsidR="00B36B39" w:rsidRPr="00F50627" w:rsidRDefault="00743613" w:rsidP="00B36B39">
      <w:pPr>
        <w:jc w:val="center"/>
      </w:pPr>
      <w:r w:rsidRPr="00F50627">
        <w:rPr>
          <w:b/>
          <w:bCs/>
          <w:i/>
          <w:iCs/>
          <w:noProof/>
          <w:sz w:val="24"/>
          <w:szCs w:val="15"/>
          <w:lang w:eastAsia="ro-RO"/>
        </w:rPr>
        <w:drawing>
          <wp:anchor distT="0" distB="0" distL="114300" distR="114300" simplePos="0" relativeHeight="251643904" behindDoc="1" locked="0" layoutInCell="1" allowOverlap="1" wp14:anchorId="3BA79E6E" wp14:editId="510108E0">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282F8CE9" w14:textId="322EED87" w:rsidR="0029756A" w:rsidRDefault="00BD4A03" w:rsidP="00B96052">
      <w:pPr>
        <w:tabs>
          <w:tab w:val="left" w:pos="4170"/>
        </w:tabs>
        <w:ind w:right="57" w:firstLine="2694"/>
        <w:rPr>
          <w:rFonts w:ascii="Book Antiqua" w:hAnsi="Book Antiqua"/>
          <w:b/>
          <w:bCs/>
          <w:i/>
          <w:iCs/>
          <w:sz w:val="24"/>
          <w:szCs w:val="15"/>
        </w:rPr>
      </w:pPr>
      <w:r>
        <w:rPr>
          <w:noProof/>
          <w:lang w:eastAsia="ro-RO"/>
        </w:rPr>
        <mc:AlternateContent>
          <mc:Choice Requires="wps">
            <w:drawing>
              <wp:anchor distT="0" distB="0" distL="114300" distR="114300" simplePos="0" relativeHeight="251644928" behindDoc="1" locked="0" layoutInCell="1" allowOverlap="1" wp14:anchorId="651C52AA" wp14:editId="798E120B">
                <wp:simplePos x="0" y="0"/>
                <wp:positionH relativeFrom="column">
                  <wp:posOffset>335915</wp:posOffset>
                </wp:positionH>
                <wp:positionV relativeFrom="paragraph">
                  <wp:posOffset>54610</wp:posOffset>
                </wp:positionV>
                <wp:extent cx="6064885" cy="8743950"/>
                <wp:effectExtent l="38100" t="38100" r="3111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74395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BBB9" id="Rectangle 15" o:spid="_x0000_s1026" style="position:absolute;margin-left:26.45pt;margin-top:4.3pt;width:477.55pt;height:6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" fillcolor="#cdddeb" strokecolor="gray" strokeweight="6.25pt">
                <v:fill opacity="52428f"/>
                <v:stroke linestyle="thickThin"/>
              </v:rect>
            </w:pict>
          </mc:Fallback>
        </mc:AlternateContent>
      </w:r>
      <w:r w:rsidR="00A57C58" w:rsidRPr="00F50627">
        <w:rPr>
          <w:rFonts w:ascii="Book Antiqua" w:hAnsi="Book Antiqua"/>
          <w:b/>
          <w:bCs/>
          <w:i/>
          <w:iCs/>
          <w:sz w:val="24"/>
          <w:szCs w:val="15"/>
        </w:rPr>
        <w:tab/>
      </w:r>
    </w:p>
    <w:p w14:paraId="58F78B6B" w14:textId="77777777" w:rsidR="00933498" w:rsidRPr="00933498" w:rsidRDefault="005E259E" w:rsidP="008652DB">
      <w:pPr>
        <w:ind w:right="57" w:firstLine="142"/>
        <w:jc w:val="both"/>
        <w:rPr>
          <w:rFonts w:ascii="Book Antiqua" w:hAnsi="Book Antiqua"/>
          <w:b/>
          <w:bCs/>
          <w:sz w:val="22"/>
          <w:szCs w:val="18"/>
        </w:rPr>
      </w:pPr>
      <w:r w:rsidRPr="00F50627">
        <w:rPr>
          <w:b/>
          <w:bCs/>
          <w:i/>
          <w:iCs/>
          <w:noProof/>
          <w:sz w:val="24"/>
          <w:szCs w:val="15"/>
          <w:lang w:eastAsia="ro-RO"/>
        </w:rPr>
        <w:t xml:space="preserve"> </w:t>
      </w:r>
      <w:r w:rsidR="001D4A9D">
        <w:rPr>
          <w:rFonts w:ascii="Book Antiqua" w:hAnsi="Book Antiqua"/>
          <w:b/>
          <w:bCs/>
          <w:i/>
          <w:iCs/>
          <w:sz w:val="24"/>
          <w:szCs w:val="18"/>
        </w:rPr>
        <w:t xml:space="preserve">            </w:t>
      </w:r>
      <w:r w:rsidR="00784815" w:rsidRPr="00933498">
        <w:rPr>
          <w:rFonts w:ascii="Book Antiqua" w:hAnsi="Book Antiqua"/>
          <w:b/>
          <w:bCs/>
          <w:i/>
          <w:iCs/>
          <w:sz w:val="24"/>
          <w:szCs w:val="18"/>
        </w:rPr>
        <w:t>D</w:t>
      </w:r>
      <w:r w:rsidR="005D189D" w:rsidRPr="00933498">
        <w:rPr>
          <w:rFonts w:ascii="Book Antiqua" w:hAnsi="Book Antiqua"/>
          <w:b/>
          <w:bCs/>
          <w:i/>
          <w:iCs/>
          <w:sz w:val="24"/>
          <w:szCs w:val="18"/>
        </w:rPr>
        <w:t>in</w:t>
      </w:r>
      <w:r w:rsidR="00961057" w:rsidRPr="00933498">
        <w:rPr>
          <w:rFonts w:ascii="Book Antiqua" w:hAnsi="Book Antiqua"/>
          <w:b/>
          <w:bCs/>
          <w:i/>
          <w:iCs/>
          <w:sz w:val="24"/>
          <w:szCs w:val="18"/>
        </w:rPr>
        <w:t xml:space="preserve"> </w:t>
      </w:r>
      <w:r w:rsidR="002F743E" w:rsidRPr="00933498">
        <w:rPr>
          <w:rFonts w:ascii="Book Antiqua" w:hAnsi="Book Antiqua"/>
          <w:b/>
          <w:bCs/>
          <w:i/>
          <w:iCs/>
          <w:sz w:val="24"/>
          <w:szCs w:val="18"/>
        </w:rPr>
        <w:t>con</w:t>
      </w:r>
      <w:r w:rsidR="002F743E" w:rsidRPr="00933498">
        <w:rPr>
          <w:rFonts w:ascii="Cambria" w:hAnsi="Cambria" w:cs="Cambria"/>
          <w:b/>
          <w:bCs/>
          <w:i/>
          <w:iCs/>
          <w:sz w:val="24"/>
          <w:szCs w:val="18"/>
        </w:rPr>
        <w:t>ț</w:t>
      </w:r>
      <w:r w:rsidR="002F743E" w:rsidRPr="00933498">
        <w:rPr>
          <w:rFonts w:ascii="Book Antiqua" w:hAnsi="Book Antiqua"/>
          <w:b/>
          <w:bCs/>
          <w:i/>
          <w:iCs/>
          <w:sz w:val="24"/>
          <w:szCs w:val="18"/>
        </w:rPr>
        <w:t>inutul</w:t>
      </w:r>
      <w:r w:rsidR="00571676" w:rsidRPr="00933498">
        <w:rPr>
          <w:rFonts w:ascii="Book Antiqua" w:hAnsi="Book Antiqua"/>
          <w:b/>
          <w:bCs/>
          <w:i/>
          <w:iCs/>
          <w:sz w:val="24"/>
          <w:szCs w:val="18"/>
        </w:rPr>
        <w:t xml:space="preserve"> </w:t>
      </w:r>
      <w:r w:rsidR="005D189D" w:rsidRPr="00933498">
        <w:rPr>
          <w:rFonts w:ascii="Book Antiqua" w:hAnsi="Book Antiqua"/>
          <w:b/>
          <w:bCs/>
          <w:i/>
          <w:iCs/>
          <w:sz w:val="24"/>
          <w:szCs w:val="18"/>
        </w:rPr>
        <w:t>acestui</w:t>
      </w:r>
      <w:r w:rsidR="00961057" w:rsidRPr="00933498">
        <w:rPr>
          <w:rFonts w:ascii="Book Antiqua" w:hAnsi="Book Antiqua"/>
          <w:b/>
          <w:bCs/>
          <w:i/>
          <w:iCs/>
          <w:sz w:val="24"/>
          <w:szCs w:val="18"/>
        </w:rPr>
        <w:t xml:space="preserve"> </w:t>
      </w:r>
      <w:r w:rsidR="005D189D" w:rsidRPr="00933498">
        <w:rPr>
          <w:rFonts w:ascii="Book Antiqua" w:hAnsi="Book Antiqua"/>
          <w:b/>
          <w:bCs/>
          <w:i/>
          <w:iCs/>
          <w:sz w:val="24"/>
          <w:szCs w:val="18"/>
        </w:rPr>
        <w:t>număr</w:t>
      </w:r>
      <w:r w:rsidR="00D92612" w:rsidRPr="00933498">
        <w:rPr>
          <w:rFonts w:ascii="Book Antiqua" w:hAnsi="Book Antiqua"/>
          <w:b/>
          <w:bCs/>
          <w:sz w:val="22"/>
          <w:szCs w:val="18"/>
        </w:rPr>
        <w:t>:</w:t>
      </w:r>
    </w:p>
    <w:p w14:paraId="548C98ED" w14:textId="40C5AE2F" w:rsidR="006E6DF7" w:rsidRDefault="005D0FC6" w:rsidP="005F6CA9">
      <w:pPr>
        <w:ind w:right="56" w:firstLine="142"/>
        <w:jc w:val="both"/>
        <w:rPr>
          <w:noProof/>
        </w:rPr>
      </w:pPr>
      <w:r w:rsidRPr="00BD4A03">
        <w:rPr>
          <w:noProof/>
          <w:lang w:eastAsia="ro-RO"/>
        </w:rPr>
        <mc:AlternateContent>
          <mc:Choice Requires="wps">
            <w:drawing>
              <wp:anchor distT="0" distB="0" distL="114300" distR="114300" simplePos="0" relativeHeight="252001280" behindDoc="1" locked="1" layoutInCell="1" allowOverlap="1" wp14:anchorId="4DCB54DF" wp14:editId="2BDA0153">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1B9EB02D" w:rsidR="0017074A" w:rsidRDefault="0017074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47</w:t>
                            </w:r>
                          </w:p>
                          <w:p w14:paraId="300DDA87" w14:textId="57635ECE" w:rsidR="0017074A" w:rsidRPr="005E3F6E" w:rsidRDefault="0017074A" w:rsidP="006932BF">
                            <w:pPr>
                              <w:spacing w:after="120"/>
                              <w:jc w:val="center"/>
                              <w:rPr>
                                <w:rFonts w:ascii="Book Antiqua" w:hAnsi="Book Antiqua"/>
                                <w:b/>
                                <w:color w:val="000080"/>
                                <w:spacing w:val="10"/>
                                <w:szCs w:val="18"/>
                              </w:rPr>
                            </w:pPr>
                            <w:r>
                              <w:rPr>
                                <w:rFonts w:ascii="Book Antiqua" w:hAnsi="Book Antiqua"/>
                                <w:b/>
                                <w:color w:val="000080"/>
                                <w:spacing w:val="10"/>
                                <w:szCs w:val="18"/>
                              </w:rPr>
                              <w:t>22 - 26 noiembrie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6" type="#_x0000_t202" style="position:absolute;left:0;text-align:left;margin-left:-59.05pt;margin-top:771.45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" stroked="f">
                <v:fill opacity="0"/>
                <v:textbox>
                  <w:txbxContent>
                    <w:p w14:paraId="3A783173" w14:textId="1B9EB02D" w:rsidR="0017074A" w:rsidRDefault="0017074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47</w:t>
                      </w:r>
                    </w:p>
                    <w:p w14:paraId="300DDA87" w14:textId="57635ECE" w:rsidR="0017074A" w:rsidRPr="005E3F6E" w:rsidRDefault="0017074A" w:rsidP="006932BF">
                      <w:pPr>
                        <w:spacing w:after="120"/>
                        <w:jc w:val="center"/>
                        <w:rPr>
                          <w:rFonts w:ascii="Book Antiqua" w:hAnsi="Book Antiqua"/>
                          <w:b/>
                          <w:color w:val="000080"/>
                          <w:spacing w:val="10"/>
                          <w:szCs w:val="18"/>
                        </w:rPr>
                      </w:pPr>
                      <w:r>
                        <w:rPr>
                          <w:rFonts w:ascii="Book Antiqua" w:hAnsi="Book Antiqua"/>
                          <w:b/>
                          <w:color w:val="000080"/>
                          <w:spacing w:val="10"/>
                          <w:szCs w:val="18"/>
                        </w:rPr>
                        <w:t>22 - 26 noiembrie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0D39929" w14:textId="090F28FF"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16" w:history="1">
        <w:r w:rsidRPr="008307B5">
          <w:rPr>
            <w:rStyle w:val="Hyperlink"/>
            <w:rFonts w:ascii="Book Antiqua" w:hAnsi="Book Antiqua"/>
          </w:rPr>
          <w:t xml:space="preserve">Repere din agenda publică a conducerii Instituţiei Prefectului -  Judeţul  Hunedoara  în  </w:t>
        </w:r>
        <w:r w:rsidRPr="008307B5">
          <w:rPr>
            <w:rStyle w:val="Hyperlink"/>
            <w:rFonts w:ascii="Book Antiqua" w:hAnsi="Book Antiqua"/>
            <w:spacing w:val="-6"/>
          </w:rPr>
          <w:t>perioada  22 - 26  noiembrie,  2021</w:t>
        </w:r>
        <w:r>
          <w:rPr>
            <w:webHidden/>
          </w:rPr>
          <w:tab/>
        </w:r>
        <w:r>
          <w:rPr>
            <w:webHidden/>
          </w:rPr>
          <w:fldChar w:fldCharType="begin"/>
        </w:r>
        <w:r>
          <w:rPr>
            <w:webHidden/>
          </w:rPr>
          <w:instrText xml:space="preserve"> PAGEREF _Toc89334216 \h </w:instrText>
        </w:r>
        <w:r>
          <w:rPr>
            <w:webHidden/>
          </w:rPr>
        </w:r>
        <w:r>
          <w:rPr>
            <w:webHidden/>
          </w:rPr>
          <w:fldChar w:fldCharType="separate"/>
        </w:r>
        <w:r w:rsidR="00017B4E">
          <w:rPr>
            <w:webHidden/>
          </w:rPr>
          <w:t>2</w:t>
        </w:r>
        <w:r>
          <w:rPr>
            <w:webHidden/>
          </w:rPr>
          <w:fldChar w:fldCharType="end"/>
        </w:r>
      </w:hyperlink>
    </w:p>
    <w:p w14:paraId="40A7844C"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17" w:history="1">
        <w:r w:rsidRPr="008307B5">
          <w:rPr>
            <w:rStyle w:val="Hyperlink"/>
            <w:rFonts w:ascii="Book Antiqua" w:hAnsi="Book Antiqua"/>
            <w:spacing w:val="-6"/>
          </w:rPr>
          <w:t>Selec</w:t>
        </w:r>
        <w:r w:rsidRPr="008307B5">
          <w:rPr>
            <w:rStyle w:val="Hyperlink"/>
            <w:rFonts w:ascii="Cambria" w:hAnsi="Cambria" w:cs="Cambria"/>
            <w:spacing w:val="-6"/>
          </w:rPr>
          <w:t>ț</w:t>
        </w:r>
        <w:r w:rsidRPr="008307B5">
          <w:rPr>
            <w:rStyle w:val="Hyperlink"/>
            <w:rFonts w:ascii="Book Antiqua" w:hAnsi="Book Antiqua"/>
            <w:spacing w:val="-6"/>
          </w:rPr>
          <w:t>ie de Acte normative apărute în Monitorul Oficial al României</w:t>
        </w:r>
        <w:r w:rsidRPr="008307B5">
          <w:rPr>
            <w:rStyle w:val="Hyperlink"/>
          </w:rPr>
          <w:t xml:space="preserve">  </w:t>
        </w:r>
        <w:r w:rsidRPr="008307B5">
          <w:rPr>
            <w:rStyle w:val="Hyperlink"/>
            <w:rFonts w:ascii="Book Antiqua" w:hAnsi="Book Antiqua"/>
            <w:spacing w:val="-6"/>
          </w:rPr>
          <w:t>în perioada   22 - 26 noiembrie, 2021</w:t>
        </w:r>
        <w:r>
          <w:rPr>
            <w:webHidden/>
          </w:rPr>
          <w:tab/>
        </w:r>
        <w:r>
          <w:rPr>
            <w:webHidden/>
          </w:rPr>
          <w:fldChar w:fldCharType="begin"/>
        </w:r>
        <w:r>
          <w:rPr>
            <w:webHidden/>
          </w:rPr>
          <w:instrText xml:space="preserve"> PAGEREF _Toc89334217 \h </w:instrText>
        </w:r>
        <w:r>
          <w:rPr>
            <w:webHidden/>
          </w:rPr>
        </w:r>
        <w:r>
          <w:rPr>
            <w:webHidden/>
          </w:rPr>
          <w:fldChar w:fldCharType="separate"/>
        </w:r>
        <w:r w:rsidR="00017B4E">
          <w:rPr>
            <w:webHidden/>
          </w:rPr>
          <w:t>3</w:t>
        </w:r>
        <w:r>
          <w:rPr>
            <w:webHidden/>
          </w:rPr>
          <w:fldChar w:fldCharType="end"/>
        </w:r>
      </w:hyperlink>
    </w:p>
    <w:p w14:paraId="758B3F9B" w14:textId="29AE7D61"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18" w:history="1">
        <w:r w:rsidRPr="008307B5">
          <w:rPr>
            <w:rStyle w:val="Hyperlink"/>
          </w:rPr>
          <w:t>COmunicate de presă ale Guvernului României</w:t>
        </w:r>
        <w:r>
          <w:rPr>
            <w:webHidden/>
          </w:rPr>
          <w:tab/>
        </w:r>
        <w:r>
          <w:rPr>
            <w:webHidden/>
          </w:rPr>
          <w:fldChar w:fldCharType="begin"/>
        </w:r>
        <w:r>
          <w:rPr>
            <w:webHidden/>
          </w:rPr>
          <w:instrText xml:space="preserve"> PAGEREF _Toc89334218 \h </w:instrText>
        </w:r>
        <w:r>
          <w:rPr>
            <w:webHidden/>
          </w:rPr>
        </w:r>
        <w:r>
          <w:rPr>
            <w:webHidden/>
          </w:rPr>
          <w:fldChar w:fldCharType="separate"/>
        </w:r>
        <w:r w:rsidR="00017B4E">
          <w:rPr>
            <w:webHidden/>
          </w:rPr>
          <w:t>3</w:t>
        </w:r>
        <w:r>
          <w:rPr>
            <w:webHidden/>
          </w:rPr>
          <w:fldChar w:fldCharType="end"/>
        </w:r>
      </w:hyperlink>
    </w:p>
    <w:p w14:paraId="7A142201" w14:textId="5C0BEDEE" w:rsidR="006E6DF7" w:rsidRDefault="006E6DF7">
      <w:pPr>
        <w:pStyle w:val="TOC4"/>
        <w:rPr>
          <w:rFonts w:asciiTheme="minorHAnsi" w:eastAsiaTheme="minorEastAsia" w:hAnsiTheme="minorHAnsi" w:cstheme="minorBidi"/>
          <w:sz w:val="22"/>
          <w:szCs w:val="22"/>
          <w:lang w:eastAsia="ro-RO"/>
        </w:rPr>
      </w:pPr>
      <w:hyperlink w:anchor="_Toc89334219" w:history="1">
        <w:r w:rsidRPr="008307B5">
          <w:rPr>
            <w:rStyle w:val="Hyperlink"/>
          </w:rPr>
          <w:t>Guvernul se alătură campaniei internaționale pentru eliminarea violenței împotriva femeilor</w:t>
        </w:r>
        <w:r>
          <w:rPr>
            <w:webHidden/>
          </w:rPr>
          <w:tab/>
        </w:r>
        <w:r>
          <w:rPr>
            <w:webHidden/>
          </w:rPr>
          <w:fldChar w:fldCharType="begin"/>
        </w:r>
        <w:r>
          <w:rPr>
            <w:webHidden/>
          </w:rPr>
          <w:instrText xml:space="preserve"> PAGEREF _Toc89334219 \h </w:instrText>
        </w:r>
        <w:r>
          <w:rPr>
            <w:webHidden/>
          </w:rPr>
        </w:r>
        <w:r>
          <w:rPr>
            <w:webHidden/>
          </w:rPr>
          <w:fldChar w:fldCharType="separate"/>
        </w:r>
        <w:r w:rsidR="00017B4E">
          <w:rPr>
            <w:webHidden/>
          </w:rPr>
          <w:t>3</w:t>
        </w:r>
        <w:r>
          <w:rPr>
            <w:webHidden/>
          </w:rPr>
          <w:fldChar w:fldCharType="end"/>
        </w:r>
      </w:hyperlink>
    </w:p>
    <w:p w14:paraId="71697493" w14:textId="16F2241B" w:rsidR="006E6DF7" w:rsidRDefault="006E6DF7">
      <w:pPr>
        <w:pStyle w:val="TOC4"/>
        <w:rPr>
          <w:rFonts w:asciiTheme="minorHAnsi" w:eastAsiaTheme="minorEastAsia" w:hAnsiTheme="minorHAnsi" w:cstheme="minorBidi"/>
          <w:sz w:val="22"/>
          <w:szCs w:val="22"/>
          <w:lang w:eastAsia="ro-RO"/>
        </w:rPr>
      </w:pPr>
      <w:hyperlink w:anchor="_Toc89334220" w:history="1">
        <w:r w:rsidRPr="008307B5">
          <w:rPr>
            <w:rStyle w:val="Hyperlink"/>
          </w:rPr>
          <w:t>Măsuri de reorganizare a Guvernului și ministerelor</w:t>
        </w:r>
        <w:r>
          <w:rPr>
            <w:webHidden/>
          </w:rPr>
          <w:tab/>
        </w:r>
        <w:r>
          <w:rPr>
            <w:webHidden/>
          </w:rPr>
          <w:fldChar w:fldCharType="begin"/>
        </w:r>
        <w:r>
          <w:rPr>
            <w:webHidden/>
          </w:rPr>
          <w:instrText xml:space="preserve"> PAGEREF _Toc89334220 \h </w:instrText>
        </w:r>
        <w:r>
          <w:rPr>
            <w:webHidden/>
          </w:rPr>
        </w:r>
        <w:r>
          <w:rPr>
            <w:webHidden/>
          </w:rPr>
          <w:fldChar w:fldCharType="separate"/>
        </w:r>
        <w:r w:rsidR="00017B4E">
          <w:rPr>
            <w:webHidden/>
          </w:rPr>
          <w:t>4</w:t>
        </w:r>
        <w:r>
          <w:rPr>
            <w:webHidden/>
          </w:rPr>
          <w:fldChar w:fldCharType="end"/>
        </w:r>
      </w:hyperlink>
    </w:p>
    <w:p w14:paraId="75AA211D" w14:textId="6E765DAC" w:rsidR="006E6DF7" w:rsidRDefault="006E6DF7">
      <w:pPr>
        <w:pStyle w:val="TOC4"/>
        <w:rPr>
          <w:rFonts w:asciiTheme="minorHAnsi" w:eastAsiaTheme="minorEastAsia" w:hAnsiTheme="minorHAnsi" w:cstheme="minorBidi"/>
          <w:sz w:val="22"/>
          <w:szCs w:val="22"/>
          <w:lang w:eastAsia="ro-RO"/>
        </w:rPr>
      </w:pPr>
      <w:hyperlink w:anchor="_Toc89334221" w:history="1">
        <w:r w:rsidRPr="008307B5">
          <w:rPr>
            <w:rStyle w:val="Hyperlink"/>
          </w:rPr>
          <w:t>Plata drepturilor salariale în educație și sănătate, pensiilor și a ajutoarelor sociale în luna decembrie, asigurată prin rectificare bugetară</w:t>
        </w:r>
        <w:r>
          <w:rPr>
            <w:webHidden/>
          </w:rPr>
          <w:tab/>
        </w:r>
        <w:r>
          <w:rPr>
            <w:webHidden/>
          </w:rPr>
          <w:fldChar w:fldCharType="begin"/>
        </w:r>
        <w:r>
          <w:rPr>
            <w:webHidden/>
          </w:rPr>
          <w:instrText xml:space="preserve"> PAGEREF _Toc89334221 \h </w:instrText>
        </w:r>
        <w:r>
          <w:rPr>
            <w:webHidden/>
          </w:rPr>
        </w:r>
        <w:r>
          <w:rPr>
            <w:webHidden/>
          </w:rPr>
          <w:fldChar w:fldCharType="separate"/>
        </w:r>
        <w:r w:rsidR="00017B4E">
          <w:rPr>
            <w:webHidden/>
          </w:rPr>
          <w:t>5</w:t>
        </w:r>
        <w:r>
          <w:rPr>
            <w:webHidden/>
          </w:rPr>
          <w:fldChar w:fldCharType="end"/>
        </w:r>
      </w:hyperlink>
    </w:p>
    <w:p w14:paraId="424A37AD"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25" w:history="1">
        <w:r w:rsidRPr="008307B5">
          <w:rPr>
            <w:rStyle w:val="Hyperlink"/>
          </w:rPr>
          <w:t>Informaţie Europeană</w:t>
        </w:r>
        <w:r>
          <w:rPr>
            <w:webHidden/>
          </w:rPr>
          <w:tab/>
        </w:r>
        <w:r>
          <w:rPr>
            <w:webHidden/>
          </w:rPr>
          <w:fldChar w:fldCharType="begin"/>
        </w:r>
        <w:r>
          <w:rPr>
            <w:webHidden/>
          </w:rPr>
          <w:instrText xml:space="preserve"> PAGEREF _Toc89334225 \h </w:instrText>
        </w:r>
        <w:r>
          <w:rPr>
            <w:webHidden/>
          </w:rPr>
        </w:r>
        <w:r>
          <w:rPr>
            <w:webHidden/>
          </w:rPr>
          <w:fldChar w:fldCharType="separate"/>
        </w:r>
        <w:r w:rsidR="00017B4E">
          <w:rPr>
            <w:webHidden/>
          </w:rPr>
          <w:t>8</w:t>
        </w:r>
        <w:r>
          <w:rPr>
            <w:webHidden/>
          </w:rPr>
          <w:fldChar w:fldCharType="end"/>
        </w:r>
      </w:hyperlink>
    </w:p>
    <w:p w14:paraId="3446B82C"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26" w:history="1">
        <w:r w:rsidRPr="008307B5">
          <w:rPr>
            <w:rStyle w:val="Hyperlink"/>
          </w:rPr>
          <w:t>NOUTĂȚI – Informații UTILE</w:t>
        </w:r>
        <w:r>
          <w:rPr>
            <w:webHidden/>
          </w:rPr>
          <w:tab/>
        </w:r>
        <w:r>
          <w:rPr>
            <w:webHidden/>
          </w:rPr>
          <w:fldChar w:fldCharType="begin"/>
        </w:r>
        <w:r>
          <w:rPr>
            <w:webHidden/>
          </w:rPr>
          <w:instrText xml:space="preserve"> PAGEREF _Toc89334226 \h </w:instrText>
        </w:r>
        <w:r>
          <w:rPr>
            <w:webHidden/>
          </w:rPr>
        </w:r>
        <w:r>
          <w:rPr>
            <w:webHidden/>
          </w:rPr>
          <w:fldChar w:fldCharType="separate"/>
        </w:r>
        <w:r w:rsidR="00017B4E">
          <w:rPr>
            <w:webHidden/>
          </w:rPr>
          <w:t>8</w:t>
        </w:r>
        <w:r>
          <w:rPr>
            <w:webHidden/>
          </w:rPr>
          <w:fldChar w:fldCharType="end"/>
        </w:r>
      </w:hyperlink>
    </w:p>
    <w:p w14:paraId="18143F09" w14:textId="594F2AE5" w:rsidR="006E6DF7" w:rsidRDefault="006E6DF7">
      <w:pPr>
        <w:pStyle w:val="TOC4"/>
        <w:rPr>
          <w:rFonts w:asciiTheme="minorHAnsi" w:eastAsiaTheme="minorEastAsia" w:hAnsiTheme="minorHAnsi" w:cstheme="minorBidi"/>
          <w:sz w:val="22"/>
          <w:szCs w:val="22"/>
          <w:lang w:eastAsia="ro-RO"/>
        </w:rPr>
      </w:pPr>
      <w:hyperlink w:anchor="_Toc89334227" w:history="1">
        <w:r w:rsidRPr="008307B5">
          <w:rPr>
            <w:rStyle w:val="Hyperlink"/>
          </w:rPr>
          <w:t>POIM: Termenul de depunere pentru apelul dedicat planurilor de management pentru ariile naturale protejate a fost prelungit</w:t>
        </w:r>
        <w:r>
          <w:rPr>
            <w:webHidden/>
          </w:rPr>
          <w:tab/>
        </w:r>
        <w:r>
          <w:rPr>
            <w:webHidden/>
          </w:rPr>
          <w:fldChar w:fldCharType="begin"/>
        </w:r>
        <w:r>
          <w:rPr>
            <w:webHidden/>
          </w:rPr>
          <w:instrText xml:space="preserve"> PAGEREF _Toc89334227 \h </w:instrText>
        </w:r>
        <w:r>
          <w:rPr>
            <w:webHidden/>
          </w:rPr>
        </w:r>
        <w:r>
          <w:rPr>
            <w:webHidden/>
          </w:rPr>
          <w:fldChar w:fldCharType="separate"/>
        </w:r>
        <w:r w:rsidR="00017B4E">
          <w:rPr>
            <w:webHidden/>
          </w:rPr>
          <w:t>8</w:t>
        </w:r>
        <w:r>
          <w:rPr>
            <w:webHidden/>
          </w:rPr>
          <w:fldChar w:fldCharType="end"/>
        </w:r>
      </w:hyperlink>
    </w:p>
    <w:p w14:paraId="5BC307F2" w14:textId="77777777" w:rsidR="006E6DF7" w:rsidRDefault="006E6DF7">
      <w:pPr>
        <w:pStyle w:val="TOC4"/>
        <w:rPr>
          <w:rFonts w:asciiTheme="minorHAnsi" w:eastAsiaTheme="minorEastAsia" w:hAnsiTheme="minorHAnsi" w:cstheme="minorBidi"/>
          <w:sz w:val="22"/>
          <w:szCs w:val="22"/>
          <w:lang w:eastAsia="ro-RO"/>
        </w:rPr>
      </w:pPr>
      <w:hyperlink w:anchor="_Toc89334228" w:history="1">
        <w:r w:rsidRPr="008307B5">
          <w:rPr>
            <w:rStyle w:val="Hyperlink"/>
          </w:rPr>
          <w:t>Norme revizuite privind ajutoarele de stat aplicabile proiectelor importante de interes european comun, adoptate de Comisia Europeană</w:t>
        </w:r>
        <w:r>
          <w:rPr>
            <w:webHidden/>
          </w:rPr>
          <w:tab/>
        </w:r>
        <w:r>
          <w:rPr>
            <w:webHidden/>
          </w:rPr>
          <w:fldChar w:fldCharType="begin"/>
        </w:r>
        <w:r>
          <w:rPr>
            <w:webHidden/>
          </w:rPr>
          <w:instrText xml:space="preserve"> PAGEREF _Toc89334228 \h </w:instrText>
        </w:r>
        <w:r>
          <w:rPr>
            <w:webHidden/>
          </w:rPr>
        </w:r>
        <w:r>
          <w:rPr>
            <w:webHidden/>
          </w:rPr>
          <w:fldChar w:fldCharType="separate"/>
        </w:r>
        <w:r w:rsidR="00017B4E">
          <w:rPr>
            <w:webHidden/>
          </w:rPr>
          <w:t>8</w:t>
        </w:r>
        <w:r>
          <w:rPr>
            <w:webHidden/>
          </w:rPr>
          <w:fldChar w:fldCharType="end"/>
        </w:r>
      </w:hyperlink>
    </w:p>
    <w:p w14:paraId="6414BA49" w14:textId="77777777" w:rsidR="006E6DF7" w:rsidRDefault="006E6DF7">
      <w:pPr>
        <w:pStyle w:val="TOC4"/>
        <w:rPr>
          <w:rFonts w:asciiTheme="minorHAnsi" w:eastAsiaTheme="minorEastAsia" w:hAnsiTheme="minorHAnsi" w:cstheme="minorBidi"/>
          <w:sz w:val="22"/>
          <w:szCs w:val="22"/>
          <w:lang w:eastAsia="ro-RO"/>
        </w:rPr>
      </w:pPr>
      <w:hyperlink w:anchor="_Toc89334229" w:history="1">
        <w:r w:rsidRPr="008307B5">
          <w:rPr>
            <w:rStyle w:val="Hyperlink"/>
          </w:rPr>
          <w:t>POCU: Modificări la ghidul adresat educației nonformale în sistem outdoor</w:t>
        </w:r>
        <w:r>
          <w:rPr>
            <w:webHidden/>
          </w:rPr>
          <w:tab/>
        </w:r>
        <w:r>
          <w:rPr>
            <w:webHidden/>
          </w:rPr>
          <w:fldChar w:fldCharType="begin"/>
        </w:r>
        <w:r>
          <w:rPr>
            <w:webHidden/>
          </w:rPr>
          <w:instrText xml:space="preserve"> PAGEREF _Toc89334229 \h </w:instrText>
        </w:r>
        <w:r>
          <w:rPr>
            <w:webHidden/>
          </w:rPr>
        </w:r>
        <w:r>
          <w:rPr>
            <w:webHidden/>
          </w:rPr>
          <w:fldChar w:fldCharType="separate"/>
        </w:r>
        <w:r w:rsidR="00017B4E">
          <w:rPr>
            <w:webHidden/>
          </w:rPr>
          <w:t>9</w:t>
        </w:r>
        <w:r>
          <w:rPr>
            <w:webHidden/>
          </w:rPr>
          <w:fldChar w:fldCharType="end"/>
        </w:r>
      </w:hyperlink>
    </w:p>
    <w:p w14:paraId="0A3B6787" w14:textId="77777777" w:rsidR="006E6DF7" w:rsidRDefault="006E6DF7">
      <w:pPr>
        <w:pStyle w:val="TOC4"/>
        <w:rPr>
          <w:rFonts w:asciiTheme="minorHAnsi" w:eastAsiaTheme="minorEastAsia" w:hAnsiTheme="minorHAnsi" w:cstheme="minorBidi"/>
          <w:sz w:val="22"/>
          <w:szCs w:val="22"/>
          <w:lang w:eastAsia="ro-RO"/>
        </w:rPr>
      </w:pPr>
      <w:hyperlink w:anchor="_Toc89334230" w:history="1">
        <w:r w:rsidRPr="008307B5">
          <w:rPr>
            <w:rStyle w:val="Hyperlink"/>
          </w:rPr>
          <w:t>Eurodeputații au dat undă verde noii politici agricole a UE! Se dorește a fi mai ecologică, mai echitabilă, mai flexibilă și mai transparentă</w:t>
        </w:r>
        <w:r>
          <w:rPr>
            <w:webHidden/>
          </w:rPr>
          <w:tab/>
        </w:r>
        <w:r>
          <w:rPr>
            <w:webHidden/>
          </w:rPr>
          <w:fldChar w:fldCharType="begin"/>
        </w:r>
        <w:r>
          <w:rPr>
            <w:webHidden/>
          </w:rPr>
          <w:instrText xml:space="preserve"> PAGEREF _Toc89334230 \h </w:instrText>
        </w:r>
        <w:r>
          <w:rPr>
            <w:webHidden/>
          </w:rPr>
        </w:r>
        <w:r>
          <w:rPr>
            <w:webHidden/>
          </w:rPr>
          <w:fldChar w:fldCharType="separate"/>
        </w:r>
        <w:r w:rsidR="00017B4E">
          <w:rPr>
            <w:webHidden/>
          </w:rPr>
          <w:t>10</w:t>
        </w:r>
        <w:r>
          <w:rPr>
            <w:webHidden/>
          </w:rPr>
          <w:fldChar w:fldCharType="end"/>
        </w:r>
      </w:hyperlink>
    </w:p>
    <w:p w14:paraId="23FF53D4" w14:textId="77777777" w:rsidR="006E6DF7" w:rsidRDefault="006E6DF7">
      <w:pPr>
        <w:pStyle w:val="TOC4"/>
        <w:rPr>
          <w:rFonts w:asciiTheme="minorHAnsi" w:eastAsiaTheme="minorEastAsia" w:hAnsiTheme="minorHAnsi" w:cstheme="minorBidi"/>
          <w:sz w:val="22"/>
          <w:szCs w:val="22"/>
          <w:lang w:eastAsia="ro-RO"/>
        </w:rPr>
      </w:pPr>
      <w:hyperlink w:anchor="_Toc89334231" w:history="1">
        <w:r w:rsidRPr="008307B5">
          <w:rPr>
            <w:rStyle w:val="Hyperlink"/>
          </w:rPr>
          <w:t>Modificări la ghidul pentru depunerea în MySMIS a cererilor de finanțare aferente fișelor selectate de GAL în cadrul SDL</w:t>
        </w:r>
        <w:r>
          <w:rPr>
            <w:webHidden/>
          </w:rPr>
          <w:tab/>
        </w:r>
        <w:r>
          <w:rPr>
            <w:webHidden/>
          </w:rPr>
          <w:fldChar w:fldCharType="begin"/>
        </w:r>
        <w:r>
          <w:rPr>
            <w:webHidden/>
          </w:rPr>
          <w:instrText xml:space="preserve"> PAGEREF _Toc89334231 \h </w:instrText>
        </w:r>
        <w:r>
          <w:rPr>
            <w:webHidden/>
          </w:rPr>
        </w:r>
        <w:r>
          <w:rPr>
            <w:webHidden/>
          </w:rPr>
          <w:fldChar w:fldCharType="separate"/>
        </w:r>
        <w:r w:rsidR="00017B4E">
          <w:rPr>
            <w:webHidden/>
          </w:rPr>
          <w:t>10</w:t>
        </w:r>
        <w:r>
          <w:rPr>
            <w:webHidden/>
          </w:rPr>
          <w:fldChar w:fldCharType="end"/>
        </w:r>
      </w:hyperlink>
    </w:p>
    <w:p w14:paraId="153F9ED2" w14:textId="77777777" w:rsidR="006E6DF7" w:rsidRDefault="006E6DF7">
      <w:pPr>
        <w:pStyle w:val="TOC4"/>
        <w:rPr>
          <w:rFonts w:asciiTheme="minorHAnsi" w:eastAsiaTheme="minorEastAsia" w:hAnsiTheme="minorHAnsi" w:cstheme="minorBidi"/>
          <w:sz w:val="22"/>
          <w:szCs w:val="22"/>
          <w:lang w:eastAsia="ro-RO"/>
        </w:rPr>
      </w:pPr>
      <w:hyperlink w:anchor="_Toc89334232" w:history="1">
        <w:r w:rsidRPr="008307B5">
          <w:rPr>
            <w:rStyle w:val="Hyperlink"/>
          </w:rPr>
          <w:t>O nouă versiune a metodologiei privind monitorizarea indicatorilor financiari și fizici ai POC 2014-2020</w:t>
        </w:r>
        <w:r>
          <w:rPr>
            <w:webHidden/>
          </w:rPr>
          <w:tab/>
        </w:r>
        <w:r>
          <w:rPr>
            <w:webHidden/>
          </w:rPr>
          <w:fldChar w:fldCharType="begin"/>
        </w:r>
        <w:r>
          <w:rPr>
            <w:webHidden/>
          </w:rPr>
          <w:instrText xml:space="preserve"> PAGEREF _Toc89334232 \h </w:instrText>
        </w:r>
        <w:r>
          <w:rPr>
            <w:webHidden/>
          </w:rPr>
        </w:r>
        <w:r>
          <w:rPr>
            <w:webHidden/>
          </w:rPr>
          <w:fldChar w:fldCharType="separate"/>
        </w:r>
        <w:r w:rsidR="00017B4E">
          <w:rPr>
            <w:webHidden/>
          </w:rPr>
          <w:t>11</w:t>
        </w:r>
        <w:r>
          <w:rPr>
            <w:webHidden/>
          </w:rPr>
          <w:fldChar w:fldCharType="end"/>
        </w:r>
      </w:hyperlink>
    </w:p>
    <w:p w14:paraId="44BC979C"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33" w:history="1">
        <w:r w:rsidRPr="008307B5">
          <w:rPr>
            <w:rStyle w:val="Hyperlink"/>
          </w:rPr>
          <w:t>Consultări</w:t>
        </w:r>
        <w:r>
          <w:rPr>
            <w:webHidden/>
          </w:rPr>
          <w:tab/>
        </w:r>
        <w:r>
          <w:rPr>
            <w:webHidden/>
          </w:rPr>
          <w:fldChar w:fldCharType="begin"/>
        </w:r>
        <w:r>
          <w:rPr>
            <w:webHidden/>
          </w:rPr>
          <w:instrText xml:space="preserve"> PAGEREF _Toc89334233 \h </w:instrText>
        </w:r>
        <w:r>
          <w:rPr>
            <w:webHidden/>
          </w:rPr>
        </w:r>
        <w:r>
          <w:rPr>
            <w:webHidden/>
          </w:rPr>
          <w:fldChar w:fldCharType="separate"/>
        </w:r>
        <w:r w:rsidR="00017B4E">
          <w:rPr>
            <w:webHidden/>
          </w:rPr>
          <w:t>11</w:t>
        </w:r>
        <w:r>
          <w:rPr>
            <w:webHidden/>
          </w:rPr>
          <w:fldChar w:fldCharType="end"/>
        </w:r>
      </w:hyperlink>
    </w:p>
    <w:p w14:paraId="121113CA" w14:textId="77777777" w:rsidR="006E6DF7" w:rsidRDefault="006E6DF7">
      <w:pPr>
        <w:pStyle w:val="TOC4"/>
        <w:rPr>
          <w:rFonts w:asciiTheme="minorHAnsi" w:eastAsiaTheme="minorEastAsia" w:hAnsiTheme="minorHAnsi" w:cstheme="minorBidi"/>
          <w:sz w:val="22"/>
          <w:szCs w:val="22"/>
          <w:lang w:eastAsia="ro-RO"/>
        </w:rPr>
      </w:pPr>
      <w:hyperlink w:anchor="_Toc89334234" w:history="1">
        <w:r w:rsidRPr="008307B5">
          <w:rPr>
            <w:rStyle w:val="Hyperlink"/>
          </w:rPr>
          <w:t>Hotărâre pentru aprobarea Memorandumului de înțelegere între Guvernul României și Banca Mondială, în consultare publică!</w:t>
        </w:r>
        <w:r>
          <w:rPr>
            <w:webHidden/>
          </w:rPr>
          <w:tab/>
        </w:r>
        <w:r>
          <w:rPr>
            <w:webHidden/>
          </w:rPr>
          <w:fldChar w:fldCharType="begin"/>
        </w:r>
        <w:r>
          <w:rPr>
            <w:webHidden/>
          </w:rPr>
          <w:instrText xml:space="preserve"> PAGEREF _Toc89334234 \h </w:instrText>
        </w:r>
        <w:r>
          <w:rPr>
            <w:webHidden/>
          </w:rPr>
        </w:r>
        <w:r>
          <w:rPr>
            <w:webHidden/>
          </w:rPr>
          <w:fldChar w:fldCharType="separate"/>
        </w:r>
        <w:r w:rsidR="00017B4E">
          <w:rPr>
            <w:webHidden/>
          </w:rPr>
          <w:t>11</w:t>
        </w:r>
        <w:r>
          <w:rPr>
            <w:webHidden/>
          </w:rPr>
          <w:fldChar w:fldCharType="end"/>
        </w:r>
      </w:hyperlink>
    </w:p>
    <w:p w14:paraId="3430F73D" w14:textId="77777777" w:rsidR="006E6DF7" w:rsidRDefault="006E6DF7">
      <w:pPr>
        <w:pStyle w:val="TOC4"/>
        <w:rPr>
          <w:rFonts w:asciiTheme="minorHAnsi" w:eastAsiaTheme="minorEastAsia" w:hAnsiTheme="minorHAnsi" w:cstheme="minorBidi"/>
          <w:sz w:val="22"/>
          <w:szCs w:val="22"/>
          <w:lang w:eastAsia="ro-RO"/>
        </w:rPr>
      </w:pPr>
      <w:hyperlink w:anchor="_Toc89334235" w:history="1">
        <w:r w:rsidRPr="008307B5">
          <w:rPr>
            <w:rStyle w:val="Hyperlink"/>
          </w:rPr>
          <w:t>Biroul PE în România și Reprezentanța Comisiei Europene organizează dezbaterea online „Mecanismul de redresare și reziliență. Viziune europeană, implementare locală”</w:t>
        </w:r>
        <w:r>
          <w:rPr>
            <w:webHidden/>
          </w:rPr>
          <w:tab/>
        </w:r>
        <w:r>
          <w:rPr>
            <w:webHidden/>
          </w:rPr>
          <w:fldChar w:fldCharType="begin"/>
        </w:r>
        <w:r>
          <w:rPr>
            <w:webHidden/>
          </w:rPr>
          <w:instrText xml:space="preserve"> PAGEREF _Toc89334235 \h </w:instrText>
        </w:r>
        <w:r>
          <w:rPr>
            <w:webHidden/>
          </w:rPr>
        </w:r>
        <w:r>
          <w:rPr>
            <w:webHidden/>
          </w:rPr>
          <w:fldChar w:fldCharType="separate"/>
        </w:r>
        <w:r w:rsidR="00017B4E">
          <w:rPr>
            <w:webHidden/>
          </w:rPr>
          <w:t>11</w:t>
        </w:r>
        <w:r>
          <w:rPr>
            <w:webHidden/>
          </w:rPr>
          <w:fldChar w:fldCharType="end"/>
        </w:r>
      </w:hyperlink>
    </w:p>
    <w:p w14:paraId="5589A43E"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36" w:history="1">
        <w:r w:rsidRPr="008307B5">
          <w:rPr>
            <w:rStyle w:val="Hyperlink"/>
          </w:rPr>
          <w:t>APELURI – Finanțări</w:t>
        </w:r>
        <w:r>
          <w:rPr>
            <w:webHidden/>
          </w:rPr>
          <w:tab/>
        </w:r>
        <w:r>
          <w:rPr>
            <w:webHidden/>
          </w:rPr>
          <w:fldChar w:fldCharType="begin"/>
        </w:r>
        <w:r>
          <w:rPr>
            <w:webHidden/>
          </w:rPr>
          <w:instrText xml:space="preserve"> PAGEREF _Toc89334236 \h </w:instrText>
        </w:r>
        <w:r>
          <w:rPr>
            <w:webHidden/>
          </w:rPr>
        </w:r>
        <w:r>
          <w:rPr>
            <w:webHidden/>
          </w:rPr>
          <w:fldChar w:fldCharType="separate"/>
        </w:r>
        <w:r w:rsidR="00017B4E">
          <w:rPr>
            <w:webHidden/>
          </w:rPr>
          <w:t>12</w:t>
        </w:r>
        <w:r>
          <w:rPr>
            <w:webHidden/>
          </w:rPr>
          <w:fldChar w:fldCharType="end"/>
        </w:r>
      </w:hyperlink>
    </w:p>
    <w:p w14:paraId="1C6ECA7F" w14:textId="77777777" w:rsidR="006E6DF7" w:rsidRDefault="006E6DF7">
      <w:pPr>
        <w:pStyle w:val="TOC4"/>
        <w:rPr>
          <w:rFonts w:asciiTheme="minorHAnsi" w:eastAsiaTheme="minorEastAsia" w:hAnsiTheme="minorHAnsi" w:cstheme="minorBidi"/>
          <w:sz w:val="22"/>
          <w:szCs w:val="22"/>
          <w:lang w:eastAsia="ro-RO"/>
        </w:rPr>
      </w:pPr>
      <w:hyperlink w:anchor="_Toc89334237" w:history="1">
        <w:r w:rsidRPr="008307B5">
          <w:rPr>
            <w:rStyle w:val="Hyperlink"/>
          </w:rPr>
          <w:t>PNDR: Evaluarea cererilor de finanțare depuse în cadrul submăsurilor pentru instalarea tinerilor fermieri și dezvoltarea fermelor mici a fost finalizată</w:t>
        </w:r>
        <w:r>
          <w:rPr>
            <w:webHidden/>
          </w:rPr>
          <w:tab/>
        </w:r>
        <w:r>
          <w:rPr>
            <w:webHidden/>
          </w:rPr>
          <w:fldChar w:fldCharType="begin"/>
        </w:r>
        <w:r>
          <w:rPr>
            <w:webHidden/>
          </w:rPr>
          <w:instrText xml:space="preserve"> PAGEREF _Toc89334237 \h </w:instrText>
        </w:r>
        <w:r>
          <w:rPr>
            <w:webHidden/>
          </w:rPr>
        </w:r>
        <w:r>
          <w:rPr>
            <w:webHidden/>
          </w:rPr>
          <w:fldChar w:fldCharType="separate"/>
        </w:r>
        <w:r w:rsidR="00017B4E">
          <w:rPr>
            <w:webHidden/>
          </w:rPr>
          <w:t>12</w:t>
        </w:r>
        <w:r>
          <w:rPr>
            <w:webHidden/>
          </w:rPr>
          <w:fldChar w:fldCharType="end"/>
        </w:r>
      </w:hyperlink>
    </w:p>
    <w:p w14:paraId="615B3A29" w14:textId="2F14F91F" w:rsidR="006E6DF7" w:rsidRDefault="006E6DF7">
      <w:pPr>
        <w:pStyle w:val="TOC4"/>
        <w:rPr>
          <w:rFonts w:asciiTheme="minorHAnsi" w:eastAsiaTheme="minorEastAsia" w:hAnsiTheme="minorHAnsi" w:cstheme="minorBidi"/>
          <w:sz w:val="22"/>
          <w:szCs w:val="22"/>
          <w:lang w:eastAsia="ro-RO"/>
        </w:rPr>
      </w:pPr>
      <w:hyperlink w:anchor="_Toc89334238" w:history="1">
        <w:r w:rsidRPr="008307B5">
          <w:rPr>
            <w:rStyle w:val="Hyperlink"/>
          </w:rPr>
          <w:t>POCA: Două apeluri lansate pentru sprijinirea autorităților locale în fundamentarea deciziilor, planificare strategică și măsuri de simplificare pentru cetățeni</w:t>
        </w:r>
        <w:r>
          <w:rPr>
            <w:webHidden/>
          </w:rPr>
          <w:tab/>
        </w:r>
        <w:r>
          <w:rPr>
            <w:webHidden/>
          </w:rPr>
          <w:fldChar w:fldCharType="begin"/>
        </w:r>
        <w:r>
          <w:rPr>
            <w:webHidden/>
          </w:rPr>
          <w:instrText xml:space="preserve"> PAGEREF _Toc89334238 \h </w:instrText>
        </w:r>
        <w:r>
          <w:rPr>
            <w:webHidden/>
          </w:rPr>
        </w:r>
        <w:r>
          <w:rPr>
            <w:webHidden/>
          </w:rPr>
          <w:fldChar w:fldCharType="separate"/>
        </w:r>
        <w:r w:rsidR="00017B4E">
          <w:rPr>
            <w:webHidden/>
          </w:rPr>
          <w:t>12</w:t>
        </w:r>
        <w:r>
          <w:rPr>
            <w:webHidden/>
          </w:rPr>
          <w:fldChar w:fldCharType="end"/>
        </w:r>
      </w:hyperlink>
    </w:p>
    <w:p w14:paraId="03D31070" w14:textId="77777777" w:rsidR="006E6DF7" w:rsidRDefault="006E6DF7">
      <w:pPr>
        <w:pStyle w:val="TOC4"/>
        <w:rPr>
          <w:rFonts w:asciiTheme="minorHAnsi" w:eastAsiaTheme="minorEastAsia" w:hAnsiTheme="minorHAnsi" w:cstheme="minorBidi"/>
          <w:sz w:val="22"/>
          <w:szCs w:val="22"/>
          <w:lang w:eastAsia="ro-RO"/>
        </w:rPr>
      </w:pPr>
      <w:hyperlink w:anchor="_Toc89334239" w:history="1">
        <w:r w:rsidRPr="008307B5">
          <w:rPr>
            <w:rStyle w:val="Hyperlink"/>
          </w:rPr>
          <w:t>Schema de ajutor de stat care stă la baza lansării Acțiunii 4.1.1 - „Investiții în activități productive” a fost publicată în Monitorul Oficial!</w:t>
        </w:r>
        <w:r>
          <w:rPr>
            <w:webHidden/>
          </w:rPr>
          <w:tab/>
        </w:r>
        <w:r>
          <w:rPr>
            <w:webHidden/>
          </w:rPr>
          <w:fldChar w:fldCharType="begin"/>
        </w:r>
        <w:r>
          <w:rPr>
            <w:webHidden/>
          </w:rPr>
          <w:instrText xml:space="preserve"> PAGEREF _Toc89334239 \h </w:instrText>
        </w:r>
        <w:r>
          <w:rPr>
            <w:webHidden/>
          </w:rPr>
        </w:r>
        <w:r>
          <w:rPr>
            <w:webHidden/>
          </w:rPr>
          <w:fldChar w:fldCharType="separate"/>
        </w:r>
        <w:r w:rsidR="00017B4E">
          <w:rPr>
            <w:webHidden/>
          </w:rPr>
          <w:t>14</w:t>
        </w:r>
        <w:r>
          <w:rPr>
            <w:webHidden/>
          </w:rPr>
          <w:fldChar w:fldCharType="end"/>
        </w:r>
      </w:hyperlink>
    </w:p>
    <w:p w14:paraId="532A4E7C" w14:textId="77777777" w:rsidR="006E6DF7" w:rsidRDefault="006E6DF7">
      <w:pPr>
        <w:pStyle w:val="TOC4"/>
        <w:rPr>
          <w:rFonts w:asciiTheme="minorHAnsi" w:eastAsiaTheme="minorEastAsia" w:hAnsiTheme="minorHAnsi" w:cstheme="minorBidi"/>
          <w:sz w:val="22"/>
          <w:szCs w:val="22"/>
          <w:lang w:eastAsia="ro-RO"/>
        </w:rPr>
      </w:pPr>
      <w:hyperlink w:anchor="_Toc89334240" w:history="1">
        <w:r w:rsidRPr="008307B5">
          <w:rPr>
            <w:rStyle w:val="Hyperlink"/>
          </w:rPr>
          <w:t>Acțiunile Marie Skłodowska-Curie: Finanțare pentru organizații pentru programe doctorale și postdoctorale noi sau existente</w:t>
        </w:r>
        <w:r>
          <w:rPr>
            <w:webHidden/>
          </w:rPr>
          <w:tab/>
        </w:r>
        <w:r>
          <w:rPr>
            <w:webHidden/>
          </w:rPr>
          <w:fldChar w:fldCharType="begin"/>
        </w:r>
        <w:r>
          <w:rPr>
            <w:webHidden/>
          </w:rPr>
          <w:instrText xml:space="preserve"> PAGEREF _Toc89334240 \h </w:instrText>
        </w:r>
        <w:r>
          <w:rPr>
            <w:webHidden/>
          </w:rPr>
        </w:r>
        <w:r>
          <w:rPr>
            <w:webHidden/>
          </w:rPr>
          <w:fldChar w:fldCharType="separate"/>
        </w:r>
        <w:r w:rsidR="00017B4E">
          <w:rPr>
            <w:webHidden/>
          </w:rPr>
          <w:t>14</w:t>
        </w:r>
        <w:r>
          <w:rPr>
            <w:webHidden/>
          </w:rPr>
          <w:fldChar w:fldCharType="end"/>
        </w:r>
      </w:hyperlink>
    </w:p>
    <w:p w14:paraId="1911D4EC" w14:textId="77777777" w:rsidR="006E6DF7" w:rsidRDefault="006E6DF7">
      <w:pPr>
        <w:pStyle w:val="TOC4"/>
        <w:rPr>
          <w:rFonts w:asciiTheme="minorHAnsi" w:eastAsiaTheme="minorEastAsia" w:hAnsiTheme="minorHAnsi" w:cstheme="minorBidi"/>
          <w:sz w:val="22"/>
          <w:szCs w:val="22"/>
          <w:lang w:eastAsia="ro-RO"/>
        </w:rPr>
      </w:pPr>
      <w:hyperlink w:anchor="_Toc89334241" w:history="1">
        <w:r w:rsidRPr="008307B5">
          <w:rPr>
            <w:rStyle w:val="Hyperlink"/>
          </w:rPr>
          <w:t>Programul „Mega Proiecte de Azi pentru Mâine”: Mai puțin de o săptămână la dispoziție pentru depunerea proiectelor destinate diminuării consumului de plastic și risipei alimentare</w:t>
        </w:r>
        <w:r>
          <w:rPr>
            <w:webHidden/>
          </w:rPr>
          <w:tab/>
        </w:r>
        <w:r>
          <w:rPr>
            <w:webHidden/>
          </w:rPr>
          <w:fldChar w:fldCharType="begin"/>
        </w:r>
        <w:r>
          <w:rPr>
            <w:webHidden/>
          </w:rPr>
          <w:instrText xml:space="preserve"> PAGEREF _Toc89334241 \h </w:instrText>
        </w:r>
        <w:r>
          <w:rPr>
            <w:webHidden/>
          </w:rPr>
        </w:r>
        <w:r>
          <w:rPr>
            <w:webHidden/>
          </w:rPr>
          <w:fldChar w:fldCharType="separate"/>
        </w:r>
        <w:r w:rsidR="00017B4E">
          <w:rPr>
            <w:webHidden/>
          </w:rPr>
          <w:t>15</w:t>
        </w:r>
        <w:r>
          <w:rPr>
            <w:webHidden/>
          </w:rPr>
          <w:fldChar w:fldCharType="end"/>
        </w:r>
      </w:hyperlink>
    </w:p>
    <w:p w14:paraId="5C222E76" w14:textId="77777777" w:rsidR="006E6DF7" w:rsidRDefault="006E6DF7">
      <w:pPr>
        <w:pStyle w:val="TOC4"/>
        <w:rPr>
          <w:rFonts w:asciiTheme="minorHAnsi" w:eastAsiaTheme="minorEastAsia" w:hAnsiTheme="minorHAnsi" w:cstheme="minorBidi"/>
          <w:sz w:val="22"/>
          <w:szCs w:val="22"/>
          <w:lang w:eastAsia="ro-RO"/>
        </w:rPr>
      </w:pPr>
      <w:hyperlink w:anchor="_Toc89334242" w:history="1">
        <w:r w:rsidRPr="008307B5">
          <w:rPr>
            <w:rStyle w:val="Hyperlink"/>
          </w:rPr>
          <w:t>PNDR: Termen de depunere prelungit pentru proiectele de cooperare orizontală şi verticală între actorii din lanţul de aprovizionare în sectorele pomicol și agricol</w:t>
        </w:r>
        <w:r>
          <w:rPr>
            <w:webHidden/>
          </w:rPr>
          <w:tab/>
        </w:r>
        <w:r>
          <w:rPr>
            <w:webHidden/>
          </w:rPr>
          <w:fldChar w:fldCharType="begin"/>
        </w:r>
        <w:r>
          <w:rPr>
            <w:webHidden/>
          </w:rPr>
          <w:instrText xml:space="preserve"> PAGEREF _Toc89334242 \h </w:instrText>
        </w:r>
        <w:r>
          <w:rPr>
            <w:webHidden/>
          </w:rPr>
        </w:r>
        <w:r>
          <w:rPr>
            <w:webHidden/>
          </w:rPr>
          <w:fldChar w:fldCharType="separate"/>
        </w:r>
        <w:r w:rsidR="00017B4E">
          <w:rPr>
            <w:webHidden/>
          </w:rPr>
          <w:t>15</w:t>
        </w:r>
        <w:r>
          <w:rPr>
            <w:webHidden/>
          </w:rPr>
          <w:fldChar w:fldCharType="end"/>
        </w:r>
      </w:hyperlink>
    </w:p>
    <w:p w14:paraId="265D3EB5"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43" w:history="1">
        <w:r w:rsidRPr="008307B5">
          <w:rPr>
            <w:rStyle w:val="Hyperlink"/>
          </w:rPr>
          <w:t>Din actualitatea europeană</w:t>
        </w:r>
        <w:r>
          <w:rPr>
            <w:webHidden/>
          </w:rPr>
          <w:tab/>
        </w:r>
        <w:r>
          <w:rPr>
            <w:webHidden/>
          </w:rPr>
          <w:fldChar w:fldCharType="begin"/>
        </w:r>
        <w:r>
          <w:rPr>
            <w:webHidden/>
          </w:rPr>
          <w:instrText xml:space="preserve"> PAGEREF _Toc89334243 \h </w:instrText>
        </w:r>
        <w:r>
          <w:rPr>
            <w:webHidden/>
          </w:rPr>
        </w:r>
        <w:r>
          <w:rPr>
            <w:webHidden/>
          </w:rPr>
          <w:fldChar w:fldCharType="separate"/>
        </w:r>
        <w:r w:rsidR="00017B4E">
          <w:rPr>
            <w:webHidden/>
          </w:rPr>
          <w:t>16</w:t>
        </w:r>
        <w:r>
          <w:rPr>
            <w:webHidden/>
          </w:rPr>
          <w:fldChar w:fldCharType="end"/>
        </w:r>
      </w:hyperlink>
    </w:p>
    <w:p w14:paraId="1E6169FD" w14:textId="77777777" w:rsidR="006E6DF7" w:rsidRDefault="006E6DF7">
      <w:pPr>
        <w:pStyle w:val="TOC4"/>
        <w:rPr>
          <w:rFonts w:asciiTheme="minorHAnsi" w:eastAsiaTheme="minorEastAsia" w:hAnsiTheme="minorHAnsi" w:cstheme="minorBidi"/>
          <w:sz w:val="22"/>
          <w:szCs w:val="22"/>
          <w:lang w:eastAsia="ro-RO"/>
        </w:rPr>
      </w:pPr>
      <w:hyperlink w:anchor="_Toc89334245" w:history="1">
        <w:r w:rsidRPr="008307B5">
          <w:rPr>
            <w:rStyle w:val="Hyperlink"/>
          </w:rPr>
          <w:t>Ramona Chiriac, șefa Rep.CE în România: „Este important să existe un sistem sanitar rezistent la crize și să se asigure disponibilitatea medicamentelor în orice situație"</w:t>
        </w:r>
        <w:r>
          <w:rPr>
            <w:webHidden/>
          </w:rPr>
          <w:tab/>
        </w:r>
        <w:r>
          <w:rPr>
            <w:webHidden/>
          </w:rPr>
          <w:fldChar w:fldCharType="begin"/>
        </w:r>
        <w:r>
          <w:rPr>
            <w:webHidden/>
          </w:rPr>
          <w:instrText xml:space="preserve"> PAGEREF _Toc89334245 \h </w:instrText>
        </w:r>
        <w:r>
          <w:rPr>
            <w:webHidden/>
          </w:rPr>
        </w:r>
        <w:r>
          <w:rPr>
            <w:webHidden/>
          </w:rPr>
          <w:fldChar w:fldCharType="separate"/>
        </w:r>
        <w:r w:rsidR="00017B4E">
          <w:rPr>
            <w:webHidden/>
          </w:rPr>
          <w:t>16</w:t>
        </w:r>
        <w:r>
          <w:rPr>
            <w:webHidden/>
          </w:rPr>
          <w:fldChar w:fldCharType="end"/>
        </w:r>
      </w:hyperlink>
    </w:p>
    <w:p w14:paraId="1A2BDD23" w14:textId="77777777" w:rsidR="006E6DF7" w:rsidRDefault="006E6DF7">
      <w:pPr>
        <w:pStyle w:val="TOC4"/>
        <w:rPr>
          <w:rFonts w:asciiTheme="minorHAnsi" w:eastAsiaTheme="minorEastAsia" w:hAnsiTheme="minorHAnsi" w:cstheme="minorBidi"/>
          <w:sz w:val="22"/>
          <w:szCs w:val="22"/>
          <w:lang w:eastAsia="ro-RO"/>
        </w:rPr>
      </w:pPr>
      <w:hyperlink w:anchor="_Toc89334246" w:history="1">
        <w:r w:rsidRPr="008307B5">
          <w:rPr>
            <w:rStyle w:val="Hyperlink"/>
          </w:rPr>
          <w:t>Democrația europeană: Comisia prezintă noi acte legislative privind publicitatea politică, drepturile electorale și finanțarea partidelor</w:t>
        </w:r>
        <w:r>
          <w:rPr>
            <w:webHidden/>
          </w:rPr>
          <w:tab/>
        </w:r>
        <w:r>
          <w:rPr>
            <w:webHidden/>
          </w:rPr>
          <w:fldChar w:fldCharType="begin"/>
        </w:r>
        <w:r>
          <w:rPr>
            <w:webHidden/>
          </w:rPr>
          <w:instrText xml:space="preserve"> PAGEREF _Toc89334246 \h </w:instrText>
        </w:r>
        <w:r>
          <w:rPr>
            <w:webHidden/>
          </w:rPr>
        </w:r>
        <w:r>
          <w:rPr>
            <w:webHidden/>
          </w:rPr>
          <w:fldChar w:fldCharType="separate"/>
        </w:r>
        <w:r w:rsidR="00017B4E">
          <w:rPr>
            <w:webHidden/>
          </w:rPr>
          <w:t>17</w:t>
        </w:r>
        <w:r>
          <w:rPr>
            <w:webHidden/>
          </w:rPr>
          <w:fldChar w:fldCharType="end"/>
        </w:r>
      </w:hyperlink>
    </w:p>
    <w:p w14:paraId="6FC1EE92" w14:textId="77777777" w:rsidR="006E6DF7" w:rsidRDefault="006E6DF7">
      <w:pPr>
        <w:pStyle w:val="TOC4"/>
        <w:rPr>
          <w:rFonts w:asciiTheme="minorHAnsi" w:eastAsiaTheme="minorEastAsia" w:hAnsiTheme="minorHAnsi" w:cstheme="minorBidi"/>
          <w:sz w:val="22"/>
          <w:szCs w:val="22"/>
          <w:lang w:eastAsia="ro-RO"/>
        </w:rPr>
      </w:pPr>
      <w:hyperlink w:anchor="_Toc89334248" w:history="1">
        <w:r w:rsidRPr="008307B5">
          <w:rPr>
            <w:rStyle w:val="Hyperlink"/>
          </w:rPr>
          <w:t>Semestrul european, pachetul de toamnă: să ieșim mai puternici din criză și să facem Europa mai ecologică și mai digitală</w:t>
        </w:r>
        <w:r>
          <w:rPr>
            <w:webHidden/>
          </w:rPr>
          <w:tab/>
        </w:r>
        <w:r>
          <w:rPr>
            <w:webHidden/>
          </w:rPr>
          <w:fldChar w:fldCharType="begin"/>
        </w:r>
        <w:r>
          <w:rPr>
            <w:webHidden/>
          </w:rPr>
          <w:instrText xml:space="preserve"> PAGEREF _Toc89334248 \h </w:instrText>
        </w:r>
        <w:r>
          <w:rPr>
            <w:webHidden/>
          </w:rPr>
        </w:r>
        <w:r>
          <w:rPr>
            <w:webHidden/>
          </w:rPr>
          <w:fldChar w:fldCharType="separate"/>
        </w:r>
        <w:r w:rsidR="00017B4E">
          <w:rPr>
            <w:webHidden/>
          </w:rPr>
          <w:t>23</w:t>
        </w:r>
        <w:r>
          <w:rPr>
            <w:webHidden/>
          </w:rPr>
          <w:fldChar w:fldCharType="end"/>
        </w:r>
      </w:hyperlink>
    </w:p>
    <w:p w14:paraId="7DEA37EB" w14:textId="77777777" w:rsidR="006E6DF7" w:rsidRDefault="006E6DF7">
      <w:pPr>
        <w:pStyle w:val="TOC4"/>
        <w:rPr>
          <w:rFonts w:asciiTheme="minorHAnsi" w:eastAsiaTheme="minorEastAsia" w:hAnsiTheme="minorHAnsi" w:cstheme="minorBidi"/>
          <w:sz w:val="22"/>
          <w:szCs w:val="22"/>
          <w:lang w:eastAsia="ro-RO"/>
        </w:rPr>
      </w:pPr>
      <w:hyperlink w:anchor="_Toc89334249" w:history="1">
        <w:r w:rsidRPr="008307B5">
          <w:rPr>
            <w:rStyle w:val="Hyperlink"/>
          </w:rPr>
          <w:t>Ramona Chiriac, șefa Reprezentanței Comisiei Europene în România: „Principiul egalității de șanse este coloana vertebrală a proiectului european”</w:t>
        </w:r>
        <w:r>
          <w:rPr>
            <w:webHidden/>
          </w:rPr>
          <w:tab/>
        </w:r>
        <w:r>
          <w:rPr>
            <w:webHidden/>
          </w:rPr>
          <w:fldChar w:fldCharType="begin"/>
        </w:r>
        <w:r>
          <w:rPr>
            <w:webHidden/>
          </w:rPr>
          <w:instrText xml:space="preserve"> PAGEREF _Toc89334249 \h </w:instrText>
        </w:r>
        <w:r>
          <w:rPr>
            <w:webHidden/>
          </w:rPr>
        </w:r>
        <w:r>
          <w:rPr>
            <w:webHidden/>
          </w:rPr>
          <w:fldChar w:fldCharType="separate"/>
        </w:r>
        <w:r w:rsidR="00017B4E">
          <w:rPr>
            <w:webHidden/>
          </w:rPr>
          <w:t>28</w:t>
        </w:r>
        <w:r>
          <w:rPr>
            <w:webHidden/>
          </w:rPr>
          <w:fldChar w:fldCharType="end"/>
        </w:r>
      </w:hyperlink>
    </w:p>
    <w:p w14:paraId="1D702D55" w14:textId="77777777" w:rsidR="006E6DF7" w:rsidRDefault="006E6DF7">
      <w:pPr>
        <w:pStyle w:val="TOC2"/>
        <w:rPr>
          <w:rFonts w:asciiTheme="minorHAnsi" w:eastAsiaTheme="minorEastAsia" w:hAnsiTheme="minorHAnsi" w:cstheme="minorBidi"/>
          <w:b w:val="0"/>
          <w:bCs w:val="0"/>
          <w:smallCaps w:val="0"/>
          <w:sz w:val="22"/>
          <w:szCs w:val="22"/>
          <w:lang w:eastAsia="ro-RO"/>
        </w:rPr>
      </w:pPr>
      <w:hyperlink w:anchor="_Toc89334250" w:history="1">
        <w:r w:rsidRPr="008307B5">
          <w:rPr>
            <w:rStyle w:val="Hyperlink"/>
          </w:rPr>
          <w:t>CORONAVIRUS</w:t>
        </w:r>
        <w:r>
          <w:rPr>
            <w:webHidden/>
          </w:rPr>
          <w:tab/>
        </w:r>
        <w:r>
          <w:rPr>
            <w:webHidden/>
          </w:rPr>
          <w:fldChar w:fldCharType="begin"/>
        </w:r>
        <w:r>
          <w:rPr>
            <w:webHidden/>
          </w:rPr>
          <w:instrText xml:space="preserve"> PAGEREF _Toc89334250 \h </w:instrText>
        </w:r>
        <w:r>
          <w:rPr>
            <w:webHidden/>
          </w:rPr>
        </w:r>
        <w:r>
          <w:rPr>
            <w:webHidden/>
          </w:rPr>
          <w:fldChar w:fldCharType="separate"/>
        </w:r>
        <w:r w:rsidR="00017B4E">
          <w:rPr>
            <w:webHidden/>
          </w:rPr>
          <w:t>29</w:t>
        </w:r>
        <w:r>
          <w:rPr>
            <w:webHidden/>
          </w:rPr>
          <w:fldChar w:fldCharType="end"/>
        </w:r>
      </w:hyperlink>
    </w:p>
    <w:p w14:paraId="7387CC33" w14:textId="77777777" w:rsidR="006E6DF7" w:rsidRDefault="006E6DF7">
      <w:pPr>
        <w:pStyle w:val="TOC4"/>
        <w:rPr>
          <w:rFonts w:asciiTheme="minorHAnsi" w:eastAsiaTheme="minorEastAsia" w:hAnsiTheme="minorHAnsi" w:cstheme="minorBidi"/>
          <w:sz w:val="22"/>
          <w:szCs w:val="22"/>
          <w:lang w:eastAsia="ro-RO"/>
        </w:rPr>
      </w:pPr>
      <w:hyperlink w:anchor="_Toc89334251" w:history="1">
        <w:r w:rsidRPr="008307B5">
          <w:rPr>
            <w:rStyle w:val="Hyperlink"/>
          </w:rPr>
          <w:t>Coronavirus: Comisia propune consolidarea coordonării călătoriilor în condiții de siguranță în UE</w:t>
        </w:r>
        <w:r>
          <w:rPr>
            <w:webHidden/>
          </w:rPr>
          <w:tab/>
        </w:r>
        <w:r>
          <w:rPr>
            <w:webHidden/>
          </w:rPr>
          <w:fldChar w:fldCharType="begin"/>
        </w:r>
        <w:r>
          <w:rPr>
            <w:webHidden/>
          </w:rPr>
          <w:instrText xml:space="preserve"> PAGEREF _Toc89334251 \h </w:instrText>
        </w:r>
        <w:r>
          <w:rPr>
            <w:webHidden/>
          </w:rPr>
        </w:r>
        <w:r>
          <w:rPr>
            <w:webHidden/>
          </w:rPr>
          <w:fldChar w:fldCharType="separate"/>
        </w:r>
        <w:r w:rsidR="00017B4E">
          <w:rPr>
            <w:webHidden/>
          </w:rPr>
          <w:t>29</w:t>
        </w:r>
        <w:r>
          <w:rPr>
            <w:webHidden/>
          </w:rPr>
          <w:fldChar w:fldCharType="end"/>
        </w:r>
      </w:hyperlink>
    </w:p>
    <w:p w14:paraId="3BB1B4D1" w14:textId="77777777" w:rsidR="006E6DF7" w:rsidRDefault="006E6DF7">
      <w:pPr>
        <w:pStyle w:val="TOC4"/>
        <w:rPr>
          <w:rFonts w:asciiTheme="minorHAnsi" w:eastAsiaTheme="minorEastAsia" w:hAnsiTheme="minorHAnsi" w:cstheme="minorBidi"/>
          <w:sz w:val="22"/>
          <w:szCs w:val="22"/>
          <w:lang w:eastAsia="ro-RO"/>
        </w:rPr>
      </w:pPr>
      <w:hyperlink w:anchor="_Toc89334252" w:history="1">
        <w:r w:rsidRPr="008307B5">
          <w:rPr>
            <w:rStyle w:val="Hyperlink"/>
          </w:rPr>
          <w:t>Comisia aprobă o schemă din România în valoare de 1,4 milioane EUR pentru sprijinirea sectorului sportului din municipiul Miercurea-Ciuc, afectat de pandemia de COVID-19</w:t>
        </w:r>
        <w:r>
          <w:rPr>
            <w:webHidden/>
          </w:rPr>
          <w:tab/>
        </w:r>
        <w:r>
          <w:rPr>
            <w:webHidden/>
          </w:rPr>
          <w:fldChar w:fldCharType="begin"/>
        </w:r>
        <w:r>
          <w:rPr>
            <w:webHidden/>
          </w:rPr>
          <w:instrText xml:space="preserve"> PAGEREF _Toc89334252 \h </w:instrText>
        </w:r>
        <w:r>
          <w:rPr>
            <w:webHidden/>
          </w:rPr>
        </w:r>
        <w:r>
          <w:rPr>
            <w:webHidden/>
          </w:rPr>
          <w:fldChar w:fldCharType="separate"/>
        </w:r>
        <w:r w:rsidR="00017B4E">
          <w:rPr>
            <w:webHidden/>
          </w:rPr>
          <w:t>32</w:t>
        </w:r>
        <w:r>
          <w:rPr>
            <w:webHidden/>
          </w:rPr>
          <w:fldChar w:fldCharType="end"/>
        </w:r>
      </w:hyperlink>
    </w:p>
    <w:p w14:paraId="7F2E31A0" w14:textId="30F9C95E" w:rsidR="00933498" w:rsidRDefault="00D55F50" w:rsidP="005F6CA9">
      <w:pPr>
        <w:pStyle w:val="TOC4"/>
        <w:ind w:right="56"/>
        <w:rPr>
          <w:rStyle w:val="Hyperlink"/>
          <w:bCs/>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4BDF46B7" w14:textId="5A1DFF30" w:rsidR="00421EE9" w:rsidRPr="00966B0D" w:rsidRDefault="00933498" w:rsidP="00966B0D">
      <w:pPr>
        <w:spacing w:before="0"/>
        <w:rPr>
          <w:rStyle w:val="Hyperlink"/>
          <w:bCs/>
          <w:sz w:val="19"/>
          <w:szCs w:val="19"/>
        </w:rPr>
      </w:pPr>
      <w:r>
        <w:rPr>
          <w:rStyle w:val="Hyperlink"/>
          <w:bCs/>
          <w:sz w:val="19"/>
          <w:szCs w:val="19"/>
        </w:rPr>
        <w:br w:type="page"/>
      </w:r>
      <w:r w:rsidR="005D0FC6">
        <w:rPr>
          <w:noProof/>
          <w:lang w:eastAsia="ro-RO"/>
        </w:rPr>
        <mc:AlternateContent>
          <mc:Choice Requires="wps">
            <w:drawing>
              <wp:anchor distT="0" distB="0" distL="114300" distR="114300" simplePos="0" relativeHeight="251979776" behindDoc="0" locked="0" layoutInCell="1" allowOverlap="1" wp14:anchorId="5FEF19BF" wp14:editId="1EC05E75">
                <wp:simplePos x="0" y="0"/>
                <wp:positionH relativeFrom="margin">
                  <wp:posOffset>0</wp:posOffset>
                </wp:positionH>
                <wp:positionV relativeFrom="margin">
                  <wp:posOffset>17734915</wp:posOffset>
                </wp:positionV>
                <wp:extent cx="3864610" cy="882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650"/>
                        </a:xfrm>
                        <a:prstGeom prst="rect">
                          <a:avLst/>
                        </a:prstGeom>
                        <a:solidFill>
                          <a:srgbClr val="FFFFFF"/>
                        </a:solidFill>
                        <a:ln w="9525">
                          <a:noFill/>
                          <a:miter lim="800000"/>
                          <a:headEnd/>
                          <a:tailEnd/>
                        </a:ln>
                      </wps:spPr>
                      <wps:txbx>
                        <w:txbxContent>
                          <w:p w14:paraId="1AC21615" w14:textId="77777777" w:rsidR="0017074A" w:rsidRPr="00392067" w:rsidRDefault="0017074A" w:rsidP="005715B8">
                            <w:pPr>
                              <w:rPr>
                                <w:sz w:val="16"/>
                              </w:rPr>
                            </w:pPr>
                            <w:r w:rsidRPr="00392067">
                              <w:rPr>
                                <w:sz w:val="16"/>
                              </w:rPr>
                              <w:t>Întocmit,</w:t>
                            </w:r>
                          </w:p>
                          <w:p w14:paraId="22D5ECD6" w14:textId="77777777" w:rsidR="0017074A" w:rsidRPr="00392067" w:rsidRDefault="0017074A" w:rsidP="005715B8">
                            <w:pPr>
                              <w:jc w:val="right"/>
                              <w:rPr>
                                <w:sz w:val="16"/>
                              </w:rPr>
                            </w:pPr>
                            <w:r w:rsidRPr="00392067">
                              <w:rPr>
                                <w:sz w:val="16"/>
                              </w:rPr>
                              <w:t>Compartimentul Afaceri Europene și Relații Internaționale,</w:t>
                            </w:r>
                          </w:p>
                          <w:p w14:paraId="03EB92FB" w14:textId="77777777" w:rsidR="0017074A" w:rsidRPr="00392067" w:rsidRDefault="0017074A" w:rsidP="005715B8">
                            <w:pPr>
                              <w:jc w:val="right"/>
                              <w:rPr>
                                <w:sz w:val="16"/>
                              </w:rPr>
                            </w:pPr>
                            <w:r w:rsidRPr="00392067">
                              <w:rPr>
                                <w:sz w:val="16"/>
                              </w:rPr>
                              <w:t>Edit Iliescu, consilier</w:t>
                            </w:r>
                          </w:p>
                          <w:p w14:paraId="7F72545D" w14:textId="77777777" w:rsidR="0017074A" w:rsidRPr="00392067" w:rsidRDefault="0017074A"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EF19BF" id="Text Box 2" o:spid="_x0000_s1027" type="#_x0000_t202" style="position:absolute;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&#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G6hddyACAAAiBAAADgAAAAAAAAAAAAAAAAAuAgAAZHJzL2Uyb0RvYy54bWxQ&#10;SwECLQAUAAYACAAAACEANo+F2d4AAAAKAQAADwAAAAAAAAAAAAAAAAB6BAAAZHJzL2Rvd25yZXYu&#10;eG1sUEsFBgAAAAAEAAQA8wAAAIUFAAAAAA==&#10;" stroked="f">
                <v:textbox>
                  <w:txbxContent>
                    <w:p w14:paraId="1AC21615" w14:textId="77777777" w:rsidR="0017074A" w:rsidRPr="00392067" w:rsidRDefault="0017074A" w:rsidP="005715B8">
                      <w:pPr>
                        <w:rPr>
                          <w:sz w:val="16"/>
                        </w:rPr>
                      </w:pPr>
                      <w:r w:rsidRPr="00392067">
                        <w:rPr>
                          <w:sz w:val="16"/>
                        </w:rPr>
                        <w:t>Întocmit,</w:t>
                      </w:r>
                    </w:p>
                    <w:p w14:paraId="22D5ECD6" w14:textId="77777777" w:rsidR="0017074A" w:rsidRPr="00392067" w:rsidRDefault="0017074A" w:rsidP="005715B8">
                      <w:pPr>
                        <w:jc w:val="right"/>
                        <w:rPr>
                          <w:sz w:val="16"/>
                        </w:rPr>
                      </w:pPr>
                      <w:r w:rsidRPr="00392067">
                        <w:rPr>
                          <w:sz w:val="16"/>
                        </w:rPr>
                        <w:t>Compartimentul Afaceri Europene și Relații Internaționale,</w:t>
                      </w:r>
                    </w:p>
                    <w:p w14:paraId="03EB92FB" w14:textId="77777777" w:rsidR="0017074A" w:rsidRPr="00392067" w:rsidRDefault="0017074A" w:rsidP="005715B8">
                      <w:pPr>
                        <w:jc w:val="right"/>
                        <w:rPr>
                          <w:sz w:val="16"/>
                        </w:rPr>
                      </w:pPr>
                      <w:r w:rsidRPr="00392067">
                        <w:rPr>
                          <w:sz w:val="16"/>
                        </w:rPr>
                        <w:t>Edit Iliescu, consilier</w:t>
                      </w:r>
                    </w:p>
                    <w:p w14:paraId="7F72545D" w14:textId="77777777" w:rsidR="0017074A" w:rsidRPr="00392067" w:rsidRDefault="0017074A"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59EC079A" w:rsidR="006538AC" w:rsidRDefault="003075AF" w:rsidP="00001E0A">
      <w:pPr>
        <w:pStyle w:val="AgendaPrefect"/>
        <w:spacing w:before="0" w:after="0"/>
        <w:ind w:right="199"/>
        <w:rPr>
          <w:rFonts w:ascii="Book Antiqua" w:hAnsi="Book Antiqua"/>
          <w:color w:val="auto"/>
          <w:spacing w:val="-6"/>
          <w:sz w:val="20"/>
        </w:rPr>
      </w:pPr>
      <w:bookmarkStart w:id="10" w:name="_Toc89334216"/>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CD4B20">
        <w:rPr>
          <w:rFonts w:ascii="Book Antiqua" w:hAnsi="Book Antiqua"/>
          <w:color w:val="auto"/>
          <w:spacing w:val="-6"/>
          <w:sz w:val="20"/>
        </w:rPr>
        <w:t>22</w:t>
      </w:r>
      <w:r w:rsidR="000417A9">
        <w:rPr>
          <w:rFonts w:ascii="Book Antiqua" w:hAnsi="Book Antiqua"/>
          <w:color w:val="auto"/>
          <w:spacing w:val="-6"/>
          <w:sz w:val="20"/>
        </w:rPr>
        <w:t xml:space="preserve"> - </w:t>
      </w:r>
      <w:r w:rsidR="00CD4B20">
        <w:rPr>
          <w:rFonts w:ascii="Book Antiqua" w:hAnsi="Book Antiqua"/>
          <w:color w:val="auto"/>
          <w:spacing w:val="-6"/>
          <w:sz w:val="20"/>
        </w:rPr>
        <w:t>26</w:t>
      </w:r>
      <w:r w:rsidR="000417A9">
        <w:rPr>
          <w:rFonts w:ascii="Book Antiqua" w:hAnsi="Book Antiqua"/>
          <w:color w:val="auto"/>
          <w:spacing w:val="-6"/>
          <w:sz w:val="20"/>
        </w:rPr>
        <w:t xml:space="preserve"> </w:t>
      </w:r>
      <w:r w:rsidR="00B802F4">
        <w:rPr>
          <w:rFonts w:ascii="Book Antiqua" w:hAnsi="Book Antiqua"/>
          <w:color w:val="auto"/>
          <w:spacing w:val="-6"/>
          <w:sz w:val="20"/>
        </w:rPr>
        <w:t xml:space="preserve"> </w:t>
      </w:r>
      <w:r w:rsidR="00332301">
        <w:rPr>
          <w:rFonts w:ascii="Book Antiqua" w:hAnsi="Book Antiqua"/>
          <w:color w:val="auto"/>
          <w:spacing w:val="-6"/>
          <w:sz w:val="20"/>
        </w:rPr>
        <w:t>noiembrie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4208A"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3F17E598" w:rsidR="0094208A" w:rsidRPr="00310896" w:rsidRDefault="00310896" w:rsidP="00FC43D5">
            <w:pPr>
              <w:spacing w:before="40"/>
              <w:ind w:right="198"/>
              <w:jc w:val="both"/>
              <w:rPr>
                <w:rFonts w:ascii="Book Antiqua" w:hAnsi="Book Antiqua" w:cstheme="minorHAnsi"/>
                <w:i/>
                <w:iCs/>
                <w:sz w:val="22"/>
                <w:szCs w:val="22"/>
              </w:rPr>
            </w:pPr>
            <w:r w:rsidRPr="00310896">
              <w:rPr>
                <w:rFonts w:ascii="Book Antiqua" w:hAnsi="Book Antiqua" w:cstheme="minorHAns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7F07FA17" w:rsidR="0094208A" w:rsidRDefault="00310896" w:rsidP="0094208A">
            <w:pPr>
              <w:ind w:right="199"/>
              <w:rPr>
                <w:rFonts w:ascii="Times New Roman" w:hAnsi="Times New Roman"/>
                <w:b/>
                <w:bCs/>
                <w:i/>
                <w:iCs/>
                <w:sz w:val="20"/>
                <w:szCs w:val="20"/>
              </w:rPr>
            </w:pPr>
            <w:r>
              <w:rPr>
                <w:rFonts w:ascii="Times New Roman" w:hAnsi="Times New Roman"/>
                <w:b/>
                <w:bCs/>
                <w:i/>
                <w:iCs/>
                <w:sz w:val="20"/>
                <w:szCs w:val="20"/>
              </w:rPr>
              <w:t>22</w:t>
            </w:r>
            <w:r w:rsidR="000417A9">
              <w:rPr>
                <w:rFonts w:ascii="Times New Roman" w:hAnsi="Times New Roman"/>
                <w:b/>
                <w:bCs/>
                <w:i/>
                <w:iCs/>
                <w:sz w:val="20"/>
                <w:szCs w:val="20"/>
              </w:rPr>
              <w:t xml:space="preserve"> noiembrie 2021</w:t>
            </w:r>
          </w:p>
        </w:tc>
      </w:tr>
      <w:tr w:rsidR="004B44DD" w:rsidRPr="00F50627" w14:paraId="36CEC92C" w14:textId="77777777" w:rsidTr="007E63BF">
        <w:trPr>
          <w:trHeight w:val="694"/>
        </w:trPr>
        <w:tc>
          <w:tcPr>
            <w:tcW w:w="3991" w:type="pct"/>
            <w:tcBorders>
              <w:top w:val="dotted" w:sz="4" w:space="0" w:color="A6A6A6"/>
              <w:left w:val="nil"/>
              <w:bottom w:val="dotted" w:sz="4" w:space="0" w:color="A6A6A6"/>
              <w:right w:val="double" w:sz="4" w:space="0" w:color="006600"/>
            </w:tcBorders>
            <w:shd w:val="clear" w:color="auto" w:fill="auto"/>
          </w:tcPr>
          <w:p w14:paraId="47307998" w14:textId="4E276E2F" w:rsidR="004B44DD" w:rsidRPr="00332301" w:rsidRDefault="00310896" w:rsidP="004B44DD">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reprezentan</w:t>
            </w:r>
            <w:r w:rsidRPr="00C51E7C">
              <w:rPr>
                <w:rFonts w:ascii="Cambria" w:hAnsi="Cambria" w:cs="Cambria"/>
                <w:i/>
                <w:iCs/>
                <w:sz w:val="22"/>
                <w:szCs w:val="22"/>
              </w:rPr>
              <w:t>ț</w:t>
            </w:r>
            <w:r w:rsidRPr="00C51E7C">
              <w:rPr>
                <w:rFonts w:ascii="Book Antiqua" w:hAnsi="Book Antiqua" w:cstheme="minorHAnsi"/>
                <w:i/>
                <w:iCs/>
                <w:sz w:val="22"/>
                <w:szCs w:val="22"/>
              </w:rPr>
              <w:t>ii IPJ Hunedoara, ISU Hunedoara, IJJ Hunedoara, DSP Hunedoara, SJPI Hunedoara</w:t>
            </w:r>
          </w:p>
        </w:tc>
        <w:tc>
          <w:tcPr>
            <w:tcW w:w="1009" w:type="pct"/>
            <w:tcBorders>
              <w:top w:val="dotted" w:sz="4" w:space="0" w:color="A6A6A6"/>
              <w:left w:val="double" w:sz="4" w:space="0" w:color="006600"/>
              <w:bottom w:val="dotted" w:sz="4" w:space="0" w:color="A6A6A6"/>
              <w:right w:val="nil"/>
            </w:tcBorders>
            <w:shd w:val="clear" w:color="auto" w:fill="auto"/>
          </w:tcPr>
          <w:p w14:paraId="29B59982" w14:textId="2865DD47" w:rsidR="004B44DD" w:rsidRDefault="00310896" w:rsidP="004B44DD">
            <w:pPr>
              <w:ind w:right="199"/>
              <w:rPr>
                <w:rFonts w:ascii="Times New Roman" w:hAnsi="Times New Roman"/>
                <w:b/>
                <w:bCs/>
                <w:i/>
                <w:iCs/>
                <w:sz w:val="20"/>
                <w:szCs w:val="20"/>
              </w:rPr>
            </w:pPr>
            <w:r>
              <w:rPr>
                <w:rFonts w:ascii="Times New Roman" w:hAnsi="Times New Roman"/>
                <w:b/>
                <w:bCs/>
                <w:i/>
                <w:iCs/>
                <w:sz w:val="20"/>
                <w:szCs w:val="20"/>
              </w:rPr>
              <w:t>22</w:t>
            </w:r>
            <w:r w:rsidR="004B44DD" w:rsidRPr="00A057B6">
              <w:rPr>
                <w:rFonts w:ascii="Times New Roman" w:hAnsi="Times New Roman"/>
                <w:b/>
                <w:bCs/>
                <w:i/>
                <w:iCs/>
                <w:sz w:val="20"/>
                <w:szCs w:val="20"/>
              </w:rPr>
              <w:t xml:space="preserve"> noiembrie 2021</w:t>
            </w:r>
          </w:p>
        </w:tc>
      </w:tr>
      <w:tr w:rsidR="004B44DD" w:rsidRPr="00F50627" w14:paraId="2BAC01D7" w14:textId="77777777" w:rsidTr="007E63BF">
        <w:trPr>
          <w:trHeight w:val="421"/>
        </w:trPr>
        <w:tc>
          <w:tcPr>
            <w:tcW w:w="3991" w:type="pct"/>
            <w:tcBorders>
              <w:top w:val="dotted" w:sz="4" w:space="0" w:color="A6A6A6"/>
              <w:left w:val="nil"/>
              <w:bottom w:val="dotted" w:sz="4" w:space="0" w:color="A6A6A6"/>
              <w:right w:val="double" w:sz="4" w:space="0" w:color="006600"/>
            </w:tcBorders>
            <w:shd w:val="clear" w:color="auto" w:fill="auto"/>
          </w:tcPr>
          <w:p w14:paraId="4AC04EDD" w14:textId="3D52912E" w:rsidR="004B44DD" w:rsidRPr="00332301" w:rsidRDefault="00310896" w:rsidP="004B44DD">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Deplasare la Direc</w:t>
            </w:r>
            <w:r w:rsidRPr="00C51E7C">
              <w:rPr>
                <w:rFonts w:ascii="Cambria" w:hAnsi="Cambria" w:cs="Cambria"/>
                <w:i/>
                <w:iCs/>
                <w:sz w:val="22"/>
                <w:szCs w:val="22"/>
              </w:rPr>
              <w:t>ț</w:t>
            </w:r>
            <w:r w:rsidRPr="00C51E7C">
              <w:rPr>
                <w:rFonts w:ascii="Book Antiqua" w:hAnsi="Book Antiqua" w:cstheme="minorHAnsi"/>
                <w:i/>
                <w:iCs/>
                <w:sz w:val="22"/>
                <w:szCs w:val="22"/>
              </w:rPr>
              <w:t>ia Jude</w:t>
            </w:r>
            <w:r w:rsidRPr="00C51E7C">
              <w:rPr>
                <w:rFonts w:ascii="Cambria" w:hAnsi="Cambria" w:cs="Cambria"/>
                <w:i/>
                <w:iCs/>
                <w:sz w:val="22"/>
                <w:szCs w:val="22"/>
              </w:rPr>
              <w:t>ț</w:t>
            </w:r>
            <w:r w:rsidRPr="00C51E7C">
              <w:rPr>
                <w:rFonts w:ascii="Book Antiqua" w:hAnsi="Book Antiqua" w:cstheme="minorHAnsi"/>
                <w:i/>
                <w:iCs/>
                <w:sz w:val="22"/>
                <w:szCs w:val="22"/>
              </w:rPr>
              <w:t>ean</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pentru Sport </w:t>
            </w:r>
            <w:r w:rsidRPr="00C51E7C">
              <w:rPr>
                <w:rFonts w:ascii="Cambria" w:hAnsi="Cambria" w:cs="Cambria"/>
                <w:i/>
                <w:iCs/>
                <w:sz w:val="22"/>
                <w:szCs w:val="22"/>
              </w:rPr>
              <w:t>ș</w:t>
            </w:r>
            <w:r w:rsidRPr="00C51E7C">
              <w:rPr>
                <w:rFonts w:ascii="Book Antiqua" w:hAnsi="Book Antiqua" w:cstheme="minorHAnsi"/>
                <w:i/>
                <w:iCs/>
                <w:sz w:val="22"/>
                <w:szCs w:val="22"/>
              </w:rPr>
              <w:t>i Tineret Hunedoara</w:t>
            </w:r>
          </w:p>
        </w:tc>
        <w:tc>
          <w:tcPr>
            <w:tcW w:w="1009" w:type="pct"/>
            <w:tcBorders>
              <w:top w:val="dotted" w:sz="4" w:space="0" w:color="A6A6A6"/>
              <w:left w:val="double" w:sz="4" w:space="0" w:color="006600"/>
              <w:bottom w:val="dotted" w:sz="4" w:space="0" w:color="A6A6A6"/>
              <w:right w:val="nil"/>
            </w:tcBorders>
            <w:shd w:val="clear" w:color="auto" w:fill="auto"/>
          </w:tcPr>
          <w:p w14:paraId="4E9E583D" w14:textId="3B28EB83" w:rsidR="004B44DD" w:rsidRDefault="00310896" w:rsidP="004B44DD">
            <w:pPr>
              <w:ind w:right="199"/>
              <w:rPr>
                <w:rFonts w:ascii="Times New Roman" w:hAnsi="Times New Roman"/>
                <w:b/>
                <w:bCs/>
                <w:i/>
                <w:iCs/>
                <w:sz w:val="20"/>
                <w:szCs w:val="20"/>
              </w:rPr>
            </w:pPr>
            <w:r>
              <w:rPr>
                <w:rFonts w:ascii="Times New Roman" w:hAnsi="Times New Roman"/>
                <w:b/>
                <w:bCs/>
                <w:i/>
                <w:iCs/>
                <w:sz w:val="20"/>
                <w:szCs w:val="20"/>
              </w:rPr>
              <w:t>23</w:t>
            </w:r>
            <w:r w:rsidR="004B44DD" w:rsidRPr="00A057B6">
              <w:rPr>
                <w:rFonts w:ascii="Times New Roman" w:hAnsi="Times New Roman"/>
                <w:b/>
                <w:bCs/>
                <w:i/>
                <w:iCs/>
                <w:sz w:val="20"/>
                <w:szCs w:val="20"/>
              </w:rPr>
              <w:t xml:space="preserve"> noiembrie 2021</w:t>
            </w:r>
          </w:p>
        </w:tc>
      </w:tr>
      <w:tr w:rsidR="00852BF5" w:rsidRPr="00332301" w14:paraId="19EA2DDD" w14:textId="77777777" w:rsidTr="007E63BF">
        <w:trPr>
          <w:trHeight w:val="412"/>
        </w:trPr>
        <w:tc>
          <w:tcPr>
            <w:tcW w:w="3991" w:type="pct"/>
            <w:tcBorders>
              <w:top w:val="dotted" w:sz="4" w:space="0" w:color="A6A6A6"/>
              <w:left w:val="nil"/>
              <w:bottom w:val="dotted" w:sz="4" w:space="0" w:color="A6A6A6"/>
              <w:right w:val="double" w:sz="4" w:space="0" w:color="006600"/>
            </w:tcBorders>
            <w:shd w:val="clear" w:color="auto" w:fill="auto"/>
          </w:tcPr>
          <w:p w14:paraId="66462493" w14:textId="6A370B6C"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primarul comunei Cri</w:t>
            </w:r>
            <w:r w:rsidRPr="00C51E7C">
              <w:rPr>
                <w:rFonts w:ascii="Cambria" w:hAnsi="Cambria" w:cs="Cambria"/>
                <w:i/>
                <w:iCs/>
                <w:sz w:val="22"/>
                <w:szCs w:val="22"/>
              </w:rPr>
              <w:t>ș</w:t>
            </w:r>
            <w:r w:rsidRPr="00C51E7C">
              <w:rPr>
                <w:rFonts w:ascii="Book Antiqua" w:hAnsi="Book Antiqua" w:cstheme="minorHAnsi"/>
                <w:i/>
                <w:iCs/>
                <w:sz w:val="22"/>
                <w:szCs w:val="22"/>
              </w:rPr>
              <w:t>cior, domnul Ovidiu Ilie Furdui</w:t>
            </w:r>
          </w:p>
        </w:tc>
        <w:tc>
          <w:tcPr>
            <w:tcW w:w="1009" w:type="pct"/>
            <w:tcBorders>
              <w:top w:val="dotted" w:sz="4" w:space="0" w:color="A6A6A6"/>
              <w:left w:val="double" w:sz="4" w:space="0" w:color="006600"/>
              <w:bottom w:val="dotted" w:sz="4" w:space="0" w:color="A6A6A6"/>
              <w:right w:val="nil"/>
            </w:tcBorders>
            <w:shd w:val="clear" w:color="auto" w:fill="auto"/>
          </w:tcPr>
          <w:p w14:paraId="2BF610AB" w14:textId="5650AC9A" w:rsidR="00852BF5" w:rsidRPr="00332301" w:rsidRDefault="00852BF5" w:rsidP="00852BF5">
            <w:pPr>
              <w:ind w:right="199"/>
              <w:rPr>
                <w:rFonts w:ascii="Times New Roman" w:hAnsi="Times New Roman"/>
                <w:b/>
                <w:bCs/>
                <w:i/>
                <w:iCs/>
                <w:sz w:val="20"/>
                <w:szCs w:val="20"/>
              </w:rPr>
            </w:pPr>
            <w:r w:rsidRPr="006F4ABC">
              <w:rPr>
                <w:rFonts w:ascii="Times New Roman" w:hAnsi="Times New Roman"/>
                <w:b/>
                <w:bCs/>
                <w:i/>
                <w:iCs/>
                <w:sz w:val="20"/>
                <w:szCs w:val="20"/>
              </w:rPr>
              <w:t>23 noiembrie 2021</w:t>
            </w:r>
          </w:p>
        </w:tc>
      </w:tr>
      <w:tr w:rsidR="00852BF5" w:rsidRPr="00332301" w14:paraId="16FB13D6" w14:textId="77777777" w:rsidTr="007E63BF">
        <w:trPr>
          <w:trHeight w:val="419"/>
        </w:trPr>
        <w:tc>
          <w:tcPr>
            <w:tcW w:w="3991" w:type="pct"/>
            <w:tcBorders>
              <w:top w:val="dotted" w:sz="4" w:space="0" w:color="A6A6A6"/>
              <w:left w:val="nil"/>
              <w:bottom w:val="dotted" w:sz="4" w:space="0" w:color="A6A6A6"/>
              <w:right w:val="double" w:sz="4" w:space="0" w:color="006600"/>
            </w:tcBorders>
            <w:shd w:val="clear" w:color="auto" w:fill="auto"/>
          </w:tcPr>
          <w:p w14:paraId="0A81615F" w14:textId="69A746AF"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primarul comunei Băni</w:t>
            </w:r>
            <w:r w:rsidRPr="00C51E7C">
              <w:rPr>
                <w:rFonts w:ascii="Cambria" w:hAnsi="Cambria" w:cs="Cambria"/>
                <w:i/>
                <w:iCs/>
                <w:sz w:val="22"/>
                <w:szCs w:val="22"/>
              </w:rPr>
              <w:t>ț</w:t>
            </w:r>
            <w:r w:rsidRPr="00C51E7C">
              <w:rPr>
                <w:rFonts w:ascii="Book Antiqua" w:hAnsi="Book Antiqua" w:cstheme="minorHAnsi"/>
                <w:i/>
                <w:iCs/>
                <w:sz w:val="22"/>
                <w:szCs w:val="22"/>
              </w:rPr>
              <w:t>a, domnul Petru Dorin Marc</w:t>
            </w:r>
          </w:p>
        </w:tc>
        <w:tc>
          <w:tcPr>
            <w:tcW w:w="1009" w:type="pct"/>
            <w:tcBorders>
              <w:top w:val="dotted" w:sz="4" w:space="0" w:color="A6A6A6"/>
              <w:left w:val="double" w:sz="4" w:space="0" w:color="006600"/>
              <w:bottom w:val="dotted" w:sz="4" w:space="0" w:color="A6A6A6"/>
              <w:right w:val="nil"/>
            </w:tcBorders>
            <w:shd w:val="clear" w:color="auto" w:fill="auto"/>
          </w:tcPr>
          <w:p w14:paraId="20812F2A" w14:textId="7515118D" w:rsidR="00852BF5" w:rsidRPr="00332301" w:rsidRDefault="00852BF5" w:rsidP="00852BF5">
            <w:pPr>
              <w:ind w:right="199"/>
              <w:rPr>
                <w:rFonts w:ascii="Times New Roman" w:hAnsi="Times New Roman"/>
                <w:b/>
                <w:bCs/>
                <w:i/>
                <w:iCs/>
                <w:sz w:val="20"/>
                <w:szCs w:val="20"/>
              </w:rPr>
            </w:pPr>
            <w:r w:rsidRPr="006F4ABC">
              <w:rPr>
                <w:rFonts w:ascii="Times New Roman" w:hAnsi="Times New Roman"/>
                <w:b/>
                <w:bCs/>
                <w:i/>
                <w:iCs/>
                <w:sz w:val="20"/>
                <w:szCs w:val="20"/>
              </w:rPr>
              <w:t>23 noiembrie 2021</w:t>
            </w:r>
          </w:p>
        </w:tc>
      </w:tr>
      <w:tr w:rsidR="00852BF5" w:rsidRPr="00332301" w14:paraId="39C8C16F" w14:textId="77777777" w:rsidTr="007E63BF">
        <w:trPr>
          <w:trHeight w:val="822"/>
        </w:trPr>
        <w:tc>
          <w:tcPr>
            <w:tcW w:w="3991" w:type="pct"/>
            <w:tcBorders>
              <w:top w:val="dotted" w:sz="4" w:space="0" w:color="A6A6A6"/>
              <w:left w:val="nil"/>
              <w:bottom w:val="dotted" w:sz="4" w:space="0" w:color="A6A6A6"/>
              <w:right w:val="double" w:sz="4" w:space="0" w:color="006600"/>
            </w:tcBorders>
            <w:shd w:val="clear" w:color="auto" w:fill="auto"/>
          </w:tcPr>
          <w:p w14:paraId="393C39F3" w14:textId="161B91D3" w:rsidR="00852BF5" w:rsidRPr="00332301"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Participare la întâlnirea operativă, desfă</w:t>
            </w:r>
            <w:r w:rsidRPr="00C51E7C">
              <w:rPr>
                <w:rFonts w:ascii="Cambria" w:hAnsi="Cambria" w:cs="Cambria"/>
                <w:i/>
                <w:iCs/>
                <w:sz w:val="22"/>
                <w:szCs w:val="22"/>
              </w:rPr>
              <w:t>ș</w:t>
            </w:r>
            <w:r w:rsidRPr="00C51E7C">
              <w:rPr>
                <w:rFonts w:ascii="Book Antiqua" w:hAnsi="Book Antiqua" w:cstheme="minorHAnsi"/>
                <w:i/>
                <w:iCs/>
                <w:sz w:val="22"/>
                <w:szCs w:val="22"/>
              </w:rPr>
              <w:t>urată în regim videoconferin</w:t>
            </w:r>
            <w:r w:rsidRPr="00C51E7C">
              <w:rPr>
                <w:rFonts w:ascii="Cambria" w:hAnsi="Cambria" w:cs="Cambria"/>
                <w:i/>
                <w:iCs/>
                <w:sz w:val="22"/>
                <w:szCs w:val="22"/>
              </w:rPr>
              <w:t>ț</w:t>
            </w:r>
            <w:r w:rsidRPr="00C51E7C">
              <w:rPr>
                <w:rFonts w:ascii="Book Antiqua" w:hAnsi="Book Antiqua" w:cs="Book Antiqua"/>
                <w:i/>
                <w:iCs/>
                <w:sz w:val="22"/>
                <w:szCs w:val="22"/>
              </w:rPr>
              <w:t>ă</w:t>
            </w:r>
            <w:r w:rsidRPr="00C51E7C">
              <w:rPr>
                <w:rFonts w:ascii="Book Antiqua" w:hAnsi="Book Antiqua" w:cstheme="minorHAnsi"/>
                <w:i/>
                <w:iCs/>
                <w:sz w:val="22"/>
                <w:szCs w:val="22"/>
              </w:rPr>
              <w:t>, cu prefec</w:t>
            </w:r>
            <w:r w:rsidRPr="00C51E7C">
              <w:rPr>
                <w:rFonts w:ascii="Cambria" w:hAnsi="Cambria" w:cs="Cambria"/>
                <w:i/>
                <w:iCs/>
                <w:sz w:val="22"/>
                <w:szCs w:val="22"/>
              </w:rPr>
              <w:t>ț</w:t>
            </w:r>
            <w:r w:rsidRPr="00C51E7C">
              <w:rPr>
                <w:rFonts w:ascii="Book Antiqua" w:hAnsi="Book Antiqua" w:cstheme="minorHAnsi"/>
                <w:i/>
                <w:iCs/>
                <w:sz w:val="22"/>
                <w:szCs w:val="22"/>
              </w:rPr>
              <w:t>ii, directorii Direc</w:t>
            </w:r>
            <w:r w:rsidRPr="00C51E7C">
              <w:rPr>
                <w:rFonts w:ascii="Cambria" w:hAnsi="Cambria" w:cs="Cambria"/>
                <w:i/>
                <w:iCs/>
                <w:sz w:val="22"/>
                <w:szCs w:val="22"/>
              </w:rPr>
              <w:t>ț</w:t>
            </w:r>
            <w:r w:rsidRPr="00C51E7C">
              <w:rPr>
                <w:rFonts w:ascii="Book Antiqua" w:hAnsi="Book Antiqua" w:cstheme="minorHAnsi"/>
                <w:i/>
                <w:iCs/>
                <w:sz w:val="22"/>
                <w:szCs w:val="22"/>
              </w:rPr>
              <w:t xml:space="preserve">iilor de Sănătate Publică </w:t>
            </w:r>
            <w:r w:rsidRPr="00C51E7C">
              <w:rPr>
                <w:rFonts w:ascii="Cambria" w:hAnsi="Cambria" w:cs="Cambria"/>
                <w:i/>
                <w:iCs/>
                <w:sz w:val="22"/>
                <w:szCs w:val="22"/>
              </w:rPr>
              <w:t>ș</w:t>
            </w:r>
            <w:r w:rsidRPr="00C51E7C">
              <w:rPr>
                <w:rFonts w:ascii="Book Antiqua" w:hAnsi="Book Antiqua" w:cstheme="minorHAnsi"/>
                <w:i/>
                <w:iCs/>
                <w:sz w:val="22"/>
                <w:szCs w:val="22"/>
              </w:rPr>
              <w:t>i conducerea Inspectoratelor pentru Situa</w:t>
            </w:r>
            <w:r w:rsidRPr="00C51E7C">
              <w:rPr>
                <w:rFonts w:ascii="Cambria" w:hAnsi="Cambria" w:cs="Cambria"/>
                <w:i/>
                <w:iCs/>
                <w:sz w:val="22"/>
                <w:szCs w:val="22"/>
              </w:rPr>
              <w:t>ț</w:t>
            </w:r>
            <w:r w:rsidRPr="00C51E7C">
              <w:rPr>
                <w:rFonts w:ascii="Book Antiqua" w:hAnsi="Book Antiqua" w:cstheme="minorHAnsi"/>
                <w:i/>
                <w:iCs/>
                <w:sz w:val="22"/>
                <w:szCs w:val="22"/>
              </w:rPr>
              <w:t>ii de Urgen</w:t>
            </w:r>
            <w:r w:rsidRPr="00C51E7C">
              <w:rPr>
                <w:rFonts w:ascii="Cambria" w:hAnsi="Cambria" w:cs="Cambria"/>
                <w:i/>
                <w:iCs/>
                <w:sz w:val="22"/>
                <w:szCs w:val="22"/>
              </w:rPr>
              <w:t>ț</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din fiecare jude</w:t>
            </w:r>
            <w:r w:rsidRPr="00C51E7C">
              <w:rPr>
                <w:rFonts w:ascii="Cambria" w:hAnsi="Cambria" w:cs="Cambria"/>
                <w:i/>
                <w:iCs/>
                <w:sz w:val="22"/>
                <w:szCs w:val="22"/>
              </w:rPr>
              <w:t>ț</w:t>
            </w:r>
          </w:p>
        </w:tc>
        <w:tc>
          <w:tcPr>
            <w:tcW w:w="1009" w:type="pct"/>
            <w:tcBorders>
              <w:top w:val="dotted" w:sz="4" w:space="0" w:color="A6A6A6"/>
              <w:left w:val="double" w:sz="4" w:space="0" w:color="006600"/>
              <w:bottom w:val="dotted" w:sz="4" w:space="0" w:color="A6A6A6"/>
              <w:right w:val="nil"/>
            </w:tcBorders>
            <w:shd w:val="clear" w:color="auto" w:fill="auto"/>
          </w:tcPr>
          <w:p w14:paraId="5687FB83" w14:textId="2EF11AD5" w:rsidR="00852BF5" w:rsidRPr="00332301" w:rsidRDefault="00852BF5" w:rsidP="00852BF5">
            <w:pPr>
              <w:ind w:right="199"/>
              <w:rPr>
                <w:rFonts w:ascii="Times New Roman" w:hAnsi="Times New Roman"/>
                <w:b/>
                <w:bCs/>
                <w:i/>
                <w:iCs/>
                <w:sz w:val="20"/>
                <w:szCs w:val="20"/>
              </w:rPr>
            </w:pPr>
            <w:r w:rsidRPr="006F4ABC">
              <w:rPr>
                <w:rFonts w:ascii="Times New Roman" w:hAnsi="Times New Roman"/>
                <w:b/>
                <w:bCs/>
                <w:i/>
                <w:iCs/>
                <w:sz w:val="20"/>
                <w:szCs w:val="20"/>
              </w:rPr>
              <w:t>23 noiembrie 2021</w:t>
            </w:r>
          </w:p>
        </w:tc>
      </w:tr>
      <w:tr w:rsidR="00852BF5" w:rsidRPr="00332301" w14:paraId="50B0C11E" w14:textId="77777777" w:rsidTr="007E63BF">
        <w:trPr>
          <w:trHeight w:val="422"/>
        </w:trPr>
        <w:tc>
          <w:tcPr>
            <w:tcW w:w="3991" w:type="pct"/>
            <w:tcBorders>
              <w:top w:val="dotted" w:sz="4" w:space="0" w:color="A6A6A6"/>
              <w:left w:val="nil"/>
              <w:bottom w:val="dotted" w:sz="4" w:space="0" w:color="A6A6A6"/>
              <w:right w:val="double" w:sz="4" w:space="0" w:color="006600"/>
            </w:tcBorders>
            <w:shd w:val="clear" w:color="auto" w:fill="auto"/>
          </w:tcPr>
          <w:p w14:paraId="516CADFF" w14:textId="4A37C65B" w:rsidR="00852BF5" w:rsidRPr="00332301"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 xml:space="preserve">Întâlnire cu cadrele didactice din comuna </w:t>
            </w:r>
            <w:r w:rsidRPr="00C51E7C">
              <w:rPr>
                <w:rFonts w:ascii="Cambria" w:hAnsi="Cambria" w:cs="Cambria"/>
                <w:i/>
                <w:iCs/>
                <w:sz w:val="22"/>
                <w:szCs w:val="22"/>
              </w:rPr>
              <w:t>Ș</w:t>
            </w:r>
            <w:r w:rsidRPr="00C51E7C">
              <w:rPr>
                <w:rFonts w:ascii="Book Antiqua" w:hAnsi="Book Antiqua" w:cstheme="minorHAnsi"/>
                <w:i/>
                <w:iCs/>
                <w:sz w:val="22"/>
                <w:szCs w:val="22"/>
              </w:rPr>
              <w:t>oimu</w:t>
            </w:r>
            <w:r w:rsidRPr="00C51E7C">
              <w:rPr>
                <w:rFonts w:ascii="Cambria" w:hAnsi="Cambria" w:cs="Cambria"/>
                <w:i/>
                <w:iCs/>
                <w:sz w:val="22"/>
                <w:szCs w:val="22"/>
              </w:rPr>
              <w:t>ș</w:t>
            </w:r>
            <w:r w:rsidRPr="00C51E7C">
              <w:rPr>
                <w:rFonts w:ascii="Book Antiqua" w:hAnsi="Book Antiqua" w:cstheme="minorHAnsi"/>
                <w:i/>
                <w:iCs/>
                <w:sz w:val="22"/>
                <w:szCs w:val="22"/>
              </w:rPr>
              <w:t xml:space="preserve">, referitoare la activitatea </w:t>
            </w:r>
            <w:r w:rsidRPr="00C51E7C">
              <w:rPr>
                <w:rFonts w:ascii="Cambria" w:hAnsi="Cambria" w:cs="Cambria"/>
                <w:i/>
                <w:iCs/>
                <w:sz w:val="22"/>
                <w:szCs w:val="22"/>
              </w:rPr>
              <w:t>ș</w:t>
            </w:r>
            <w:r w:rsidRPr="00C51E7C">
              <w:rPr>
                <w:rFonts w:ascii="Book Antiqua" w:hAnsi="Book Antiqua" w:cstheme="minorHAnsi"/>
                <w:i/>
                <w:iCs/>
                <w:sz w:val="22"/>
                <w:szCs w:val="22"/>
              </w:rPr>
              <w:t>colară</w:t>
            </w:r>
          </w:p>
        </w:tc>
        <w:tc>
          <w:tcPr>
            <w:tcW w:w="1009" w:type="pct"/>
            <w:tcBorders>
              <w:top w:val="dotted" w:sz="4" w:space="0" w:color="A6A6A6"/>
              <w:left w:val="double" w:sz="4" w:space="0" w:color="006600"/>
              <w:bottom w:val="dotted" w:sz="4" w:space="0" w:color="A6A6A6"/>
              <w:right w:val="nil"/>
            </w:tcBorders>
            <w:shd w:val="clear" w:color="auto" w:fill="auto"/>
          </w:tcPr>
          <w:p w14:paraId="515BFAC9" w14:textId="5F24E763" w:rsidR="00852BF5" w:rsidRPr="00332301" w:rsidRDefault="00852BF5" w:rsidP="00852BF5">
            <w:pPr>
              <w:ind w:right="199"/>
              <w:rPr>
                <w:rFonts w:ascii="Times New Roman" w:hAnsi="Times New Roman"/>
                <w:b/>
                <w:bCs/>
                <w:i/>
                <w:iCs/>
                <w:sz w:val="20"/>
                <w:szCs w:val="20"/>
              </w:rPr>
            </w:pPr>
            <w:r w:rsidRPr="006F4ABC">
              <w:rPr>
                <w:rFonts w:ascii="Times New Roman" w:hAnsi="Times New Roman"/>
                <w:b/>
                <w:bCs/>
                <w:i/>
                <w:iCs/>
                <w:sz w:val="20"/>
                <w:szCs w:val="20"/>
              </w:rPr>
              <w:t>23 noiembrie 2021</w:t>
            </w:r>
          </w:p>
        </w:tc>
      </w:tr>
      <w:tr w:rsidR="007E63BF" w:rsidRPr="00332301" w14:paraId="5F9B58D6" w14:textId="77777777" w:rsidTr="005644A5">
        <w:trPr>
          <w:trHeight w:val="399"/>
        </w:trPr>
        <w:tc>
          <w:tcPr>
            <w:tcW w:w="3991" w:type="pct"/>
            <w:tcBorders>
              <w:top w:val="dotted" w:sz="4" w:space="0" w:color="A6A6A6"/>
              <w:left w:val="nil"/>
              <w:bottom w:val="dotted" w:sz="4" w:space="0" w:color="A6A6A6"/>
              <w:right w:val="double" w:sz="4" w:space="0" w:color="006600"/>
            </w:tcBorders>
            <w:shd w:val="clear" w:color="auto" w:fill="auto"/>
          </w:tcPr>
          <w:p w14:paraId="5EB05789" w14:textId="63EFE983" w:rsidR="007E63BF" w:rsidRPr="00043EBE" w:rsidRDefault="00852BF5" w:rsidP="007E63BF">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primarul comunei Blăjeni, domnul Horia Flavius Jurca</w:t>
            </w:r>
          </w:p>
        </w:tc>
        <w:tc>
          <w:tcPr>
            <w:tcW w:w="1009" w:type="pct"/>
            <w:tcBorders>
              <w:top w:val="dotted" w:sz="4" w:space="0" w:color="A6A6A6"/>
              <w:left w:val="double" w:sz="4" w:space="0" w:color="006600"/>
              <w:bottom w:val="dotted" w:sz="4" w:space="0" w:color="A6A6A6"/>
              <w:right w:val="nil"/>
            </w:tcBorders>
            <w:shd w:val="clear" w:color="auto" w:fill="auto"/>
          </w:tcPr>
          <w:p w14:paraId="2E1B1257" w14:textId="5A985B98" w:rsidR="007E63BF" w:rsidRPr="00332301" w:rsidRDefault="00852BF5" w:rsidP="007E63BF">
            <w:pPr>
              <w:ind w:right="199"/>
              <w:rPr>
                <w:rFonts w:ascii="Times New Roman" w:hAnsi="Times New Roman"/>
                <w:b/>
                <w:bCs/>
                <w:i/>
                <w:iCs/>
                <w:sz w:val="20"/>
                <w:szCs w:val="20"/>
              </w:rPr>
            </w:pPr>
            <w:r>
              <w:rPr>
                <w:rFonts w:ascii="Times New Roman" w:hAnsi="Times New Roman"/>
                <w:b/>
                <w:bCs/>
                <w:i/>
                <w:iCs/>
                <w:sz w:val="20"/>
                <w:szCs w:val="20"/>
              </w:rPr>
              <w:t>24</w:t>
            </w:r>
            <w:r w:rsidR="007E63BF" w:rsidRPr="0062454F">
              <w:rPr>
                <w:rFonts w:ascii="Times New Roman" w:hAnsi="Times New Roman"/>
                <w:b/>
                <w:bCs/>
                <w:i/>
                <w:iCs/>
                <w:sz w:val="20"/>
                <w:szCs w:val="20"/>
              </w:rPr>
              <w:t xml:space="preserve"> noiembrie 2021</w:t>
            </w:r>
          </w:p>
        </w:tc>
      </w:tr>
      <w:tr w:rsidR="00852BF5" w:rsidRPr="00332301" w14:paraId="14422047" w14:textId="77777777" w:rsidTr="005644A5">
        <w:trPr>
          <w:trHeight w:val="393"/>
        </w:trPr>
        <w:tc>
          <w:tcPr>
            <w:tcW w:w="3991" w:type="pct"/>
            <w:tcBorders>
              <w:top w:val="dotted" w:sz="4" w:space="0" w:color="A6A6A6"/>
              <w:left w:val="nil"/>
              <w:bottom w:val="dotted" w:sz="4" w:space="0" w:color="A6A6A6"/>
              <w:right w:val="double" w:sz="4" w:space="0" w:color="006600"/>
            </w:tcBorders>
            <w:shd w:val="clear" w:color="auto" w:fill="auto"/>
          </w:tcPr>
          <w:p w14:paraId="23B34711" w14:textId="062CAA1B"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 xml:space="preserve">Participare la </w:t>
            </w:r>
            <w:r w:rsidRPr="00C51E7C">
              <w:rPr>
                <w:rFonts w:ascii="Cambria" w:hAnsi="Cambria" w:cs="Cambria"/>
                <w:i/>
                <w:iCs/>
                <w:sz w:val="22"/>
                <w:szCs w:val="22"/>
              </w:rPr>
              <w:t>ș</w:t>
            </w:r>
            <w:r w:rsidRPr="00C51E7C">
              <w:rPr>
                <w:rFonts w:ascii="Book Antiqua" w:hAnsi="Book Antiqua" w:cstheme="minorHAnsi"/>
                <w:i/>
                <w:iCs/>
                <w:sz w:val="22"/>
                <w:szCs w:val="22"/>
              </w:rPr>
              <w:t>edin</w:t>
            </w:r>
            <w:r w:rsidRPr="00C51E7C">
              <w:rPr>
                <w:rFonts w:ascii="Cambria" w:hAnsi="Cambria" w:cs="Cambria"/>
                <w:i/>
                <w:iCs/>
                <w:sz w:val="22"/>
                <w:szCs w:val="22"/>
              </w:rPr>
              <w:t>ț</w:t>
            </w:r>
            <w:r w:rsidRPr="00C51E7C">
              <w:rPr>
                <w:rFonts w:ascii="Book Antiqua" w:hAnsi="Book Antiqua" w:cstheme="minorHAnsi"/>
                <w:i/>
                <w:iCs/>
                <w:sz w:val="22"/>
                <w:szCs w:val="22"/>
              </w:rPr>
              <w:t>a Colegiului Prefectural al jude</w:t>
            </w:r>
            <w:r w:rsidRPr="00C51E7C">
              <w:rPr>
                <w:rFonts w:ascii="Cambria" w:hAnsi="Cambria" w:cs="Cambria"/>
                <w:i/>
                <w:iCs/>
                <w:sz w:val="22"/>
                <w:szCs w:val="22"/>
              </w:rPr>
              <w:t>ț</w:t>
            </w:r>
            <w:r w:rsidRPr="00C51E7C">
              <w:rPr>
                <w:rFonts w:ascii="Book Antiqua" w:hAnsi="Book Antiqua" w:cstheme="minorHAnsi"/>
                <w:i/>
                <w:iCs/>
                <w:sz w:val="22"/>
                <w:szCs w:val="22"/>
              </w:rPr>
              <w:t>ului Hunedoara</w:t>
            </w:r>
          </w:p>
        </w:tc>
        <w:tc>
          <w:tcPr>
            <w:tcW w:w="1009" w:type="pct"/>
            <w:tcBorders>
              <w:top w:val="dotted" w:sz="4" w:space="0" w:color="A6A6A6"/>
              <w:left w:val="double" w:sz="4" w:space="0" w:color="006600"/>
              <w:bottom w:val="dotted" w:sz="4" w:space="0" w:color="A6A6A6"/>
              <w:right w:val="nil"/>
            </w:tcBorders>
            <w:shd w:val="clear" w:color="auto" w:fill="auto"/>
          </w:tcPr>
          <w:p w14:paraId="2FBA2C4C" w14:textId="1868A3DB" w:rsidR="00852BF5" w:rsidRPr="00332301" w:rsidRDefault="00852BF5" w:rsidP="00852BF5">
            <w:pPr>
              <w:ind w:right="199"/>
              <w:rPr>
                <w:rFonts w:ascii="Times New Roman" w:hAnsi="Times New Roman"/>
                <w:b/>
                <w:bCs/>
                <w:i/>
                <w:iCs/>
                <w:sz w:val="20"/>
                <w:szCs w:val="20"/>
              </w:rPr>
            </w:pPr>
            <w:r w:rsidRPr="00402DA3">
              <w:rPr>
                <w:rFonts w:ascii="Times New Roman" w:hAnsi="Times New Roman"/>
                <w:b/>
                <w:bCs/>
                <w:i/>
                <w:iCs/>
                <w:sz w:val="20"/>
                <w:szCs w:val="20"/>
              </w:rPr>
              <w:t>24 noiembrie 2021</w:t>
            </w:r>
          </w:p>
        </w:tc>
      </w:tr>
      <w:tr w:rsidR="00852BF5" w:rsidRPr="00332301" w14:paraId="79CDD35E" w14:textId="77777777" w:rsidTr="007E63BF">
        <w:trPr>
          <w:trHeight w:val="545"/>
        </w:trPr>
        <w:tc>
          <w:tcPr>
            <w:tcW w:w="3991" w:type="pct"/>
            <w:tcBorders>
              <w:top w:val="dotted" w:sz="4" w:space="0" w:color="A6A6A6"/>
              <w:left w:val="nil"/>
              <w:bottom w:val="dotted" w:sz="4" w:space="0" w:color="A6A6A6"/>
              <w:right w:val="double" w:sz="4" w:space="0" w:color="006600"/>
            </w:tcBorders>
            <w:shd w:val="clear" w:color="auto" w:fill="auto"/>
          </w:tcPr>
          <w:p w14:paraId="61F9EEB7" w14:textId="2F5B0B98"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pentru analiza proiectului privind dezvoltarea învă</w:t>
            </w:r>
            <w:r w:rsidRPr="00C51E7C">
              <w:rPr>
                <w:rFonts w:ascii="Cambria" w:hAnsi="Cambria" w:cs="Cambria"/>
                <w:i/>
                <w:iCs/>
                <w:sz w:val="22"/>
                <w:szCs w:val="22"/>
              </w:rPr>
              <w:t>ț</w:t>
            </w:r>
            <w:r w:rsidRPr="00C51E7C">
              <w:rPr>
                <w:rFonts w:ascii="Book Antiqua" w:hAnsi="Book Antiqua" w:cs="Book Antiqua"/>
                <w:i/>
                <w:iCs/>
                <w:sz w:val="22"/>
                <w:szCs w:val="22"/>
              </w:rPr>
              <w:t>ă</w:t>
            </w:r>
            <w:r w:rsidRPr="00C51E7C">
              <w:rPr>
                <w:rFonts w:ascii="Book Antiqua" w:hAnsi="Book Antiqua" w:cstheme="minorHAnsi"/>
                <w:i/>
                <w:iCs/>
                <w:sz w:val="22"/>
                <w:szCs w:val="22"/>
              </w:rPr>
              <w:t>mântului DUAL din jude</w:t>
            </w:r>
            <w:r w:rsidRPr="00C51E7C">
              <w:rPr>
                <w:rFonts w:ascii="Cambria" w:hAnsi="Cambria" w:cs="Cambria"/>
                <w:i/>
                <w:iCs/>
                <w:sz w:val="22"/>
                <w:szCs w:val="22"/>
              </w:rPr>
              <w:t>ț</w:t>
            </w:r>
            <w:r w:rsidRPr="00C51E7C">
              <w:rPr>
                <w:rFonts w:ascii="Book Antiqua" w:hAnsi="Book Antiqua" w:cstheme="minorHAnsi"/>
                <w:i/>
                <w:iCs/>
                <w:sz w:val="22"/>
                <w:szCs w:val="22"/>
              </w:rPr>
              <w:t>ul Hunedoara</w:t>
            </w:r>
          </w:p>
        </w:tc>
        <w:tc>
          <w:tcPr>
            <w:tcW w:w="1009" w:type="pct"/>
            <w:tcBorders>
              <w:top w:val="dotted" w:sz="4" w:space="0" w:color="A6A6A6"/>
              <w:left w:val="double" w:sz="4" w:space="0" w:color="006600"/>
              <w:bottom w:val="dotted" w:sz="4" w:space="0" w:color="A6A6A6"/>
              <w:right w:val="nil"/>
            </w:tcBorders>
            <w:shd w:val="clear" w:color="auto" w:fill="auto"/>
          </w:tcPr>
          <w:p w14:paraId="4C47CE9A" w14:textId="46E81382" w:rsidR="00852BF5" w:rsidRPr="00332301" w:rsidRDefault="00852BF5" w:rsidP="00852BF5">
            <w:pPr>
              <w:ind w:right="199"/>
              <w:rPr>
                <w:rFonts w:ascii="Times New Roman" w:hAnsi="Times New Roman"/>
                <w:b/>
                <w:bCs/>
                <w:i/>
                <w:iCs/>
                <w:sz w:val="20"/>
                <w:szCs w:val="20"/>
              </w:rPr>
            </w:pPr>
            <w:r w:rsidRPr="00402DA3">
              <w:rPr>
                <w:rFonts w:ascii="Times New Roman" w:hAnsi="Times New Roman"/>
                <w:b/>
                <w:bCs/>
                <w:i/>
                <w:iCs/>
                <w:sz w:val="20"/>
                <w:szCs w:val="20"/>
              </w:rPr>
              <w:t>24 noiembrie 2021</w:t>
            </w:r>
          </w:p>
        </w:tc>
      </w:tr>
      <w:tr w:rsidR="007E63BF" w:rsidRPr="00332301" w14:paraId="31F48ED9" w14:textId="77777777" w:rsidTr="005644A5">
        <w:trPr>
          <w:trHeight w:val="638"/>
        </w:trPr>
        <w:tc>
          <w:tcPr>
            <w:tcW w:w="3991" w:type="pct"/>
            <w:tcBorders>
              <w:top w:val="dotted" w:sz="4" w:space="0" w:color="A6A6A6"/>
              <w:left w:val="nil"/>
              <w:bottom w:val="dotted" w:sz="4" w:space="0" w:color="A6A6A6"/>
              <w:right w:val="double" w:sz="4" w:space="0" w:color="006600"/>
            </w:tcBorders>
            <w:shd w:val="clear" w:color="auto" w:fill="auto"/>
          </w:tcPr>
          <w:p w14:paraId="70D90071" w14:textId="18C30E4A" w:rsidR="007E63BF" w:rsidRPr="00043EBE" w:rsidRDefault="00852BF5" w:rsidP="007E63BF">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Participare în cadrul emisiunii „Ora Exactă”, la postul de televiziune Antena 3 Deva</w:t>
            </w:r>
          </w:p>
        </w:tc>
        <w:tc>
          <w:tcPr>
            <w:tcW w:w="1009" w:type="pct"/>
            <w:tcBorders>
              <w:top w:val="dotted" w:sz="4" w:space="0" w:color="A6A6A6"/>
              <w:left w:val="double" w:sz="4" w:space="0" w:color="006600"/>
              <w:bottom w:val="dotted" w:sz="4" w:space="0" w:color="A6A6A6"/>
              <w:right w:val="nil"/>
            </w:tcBorders>
            <w:shd w:val="clear" w:color="auto" w:fill="auto"/>
          </w:tcPr>
          <w:p w14:paraId="4FF2D57A" w14:textId="363037E8" w:rsidR="007E63BF" w:rsidRPr="00332301" w:rsidRDefault="00852BF5" w:rsidP="007E63BF">
            <w:pPr>
              <w:ind w:right="199"/>
              <w:rPr>
                <w:rFonts w:ascii="Times New Roman" w:hAnsi="Times New Roman"/>
                <w:b/>
                <w:bCs/>
                <w:i/>
                <w:iCs/>
                <w:sz w:val="20"/>
                <w:szCs w:val="20"/>
              </w:rPr>
            </w:pPr>
            <w:r>
              <w:rPr>
                <w:rFonts w:ascii="Times New Roman" w:hAnsi="Times New Roman"/>
                <w:b/>
                <w:bCs/>
                <w:i/>
                <w:iCs/>
                <w:sz w:val="20"/>
                <w:szCs w:val="20"/>
              </w:rPr>
              <w:t>25</w:t>
            </w:r>
            <w:r w:rsidR="007E63BF">
              <w:rPr>
                <w:rFonts w:ascii="Times New Roman" w:hAnsi="Times New Roman"/>
                <w:b/>
                <w:bCs/>
                <w:i/>
                <w:iCs/>
                <w:sz w:val="20"/>
                <w:szCs w:val="20"/>
              </w:rPr>
              <w:t xml:space="preserve"> noiembrie 2021</w:t>
            </w:r>
          </w:p>
        </w:tc>
      </w:tr>
      <w:tr w:rsidR="00852BF5" w:rsidRPr="00332301" w14:paraId="21853BD6" w14:textId="77777777" w:rsidTr="005644A5">
        <w:trPr>
          <w:trHeight w:val="420"/>
        </w:trPr>
        <w:tc>
          <w:tcPr>
            <w:tcW w:w="3991" w:type="pct"/>
            <w:tcBorders>
              <w:top w:val="dotted" w:sz="4" w:space="0" w:color="A6A6A6"/>
              <w:left w:val="nil"/>
              <w:bottom w:val="dotted" w:sz="4" w:space="0" w:color="A6A6A6"/>
              <w:right w:val="double" w:sz="4" w:space="0" w:color="006600"/>
            </w:tcBorders>
            <w:shd w:val="clear" w:color="auto" w:fill="auto"/>
          </w:tcPr>
          <w:p w14:paraId="79AE2B5C" w14:textId="18522DE9"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 xml:space="preserve">Participare la </w:t>
            </w:r>
            <w:r w:rsidRPr="00C51E7C">
              <w:rPr>
                <w:rFonts w:ascii="Cambria" w:hAnsi="Cambria" w:cs="Cambria"/>
                <w:i/>
                <w:iCs/>
                <w:sz w:val="22"/>
                <w:szCs w:val="22"/>
              </w:rPr>
              <w:t>Ș</w:t>
            </w:r>
            <w:r w:rsidRPr="00C51E7C">
              <w:rPr>
                <w:rFonts w:ascii="Book Antiqua" w:hAnsi="Book Antiqua" w:cstheme="minorHAnsi"/>
                <w:i/>
                <w:iCs/>
                <w:sz w:val="22"/>
                <w:szCs w:val="22"/>
              </w:rPr>
              <w:t>edin</w:t>
            </w:r>
            <w:r w:rsidRPr="00C51E7C">
              <w:rPr>
                <w:rFonts w:ascii="Cambria" w:hAnsi="Cambria" w:cs="Cambria"/>
                <w:i/>
                <w:iCs/>
                <w:sz w:val="22"/>
                <w:szCs w:val="22"/>
              </w:rPr>
              <w:t>ț</w:t>
            </w:r>
            <w:r w:rsidRPr="00C51E7C">
              <w:rPr>
                <w:rFonts w:ascii="Book Antiqua" w:hAnsi="Book Antiqua" w:cstheme="minorHAnsi"/>
                <w:i/>
                <w:iCs/>
                <w:sz w:val="22"/>
                <w:szCs w:val="22"/>
              </w:rPr>
              <w:t>a Comisiei Jude</w:t>
            </w:r>
            <w:r w:rsidRPr="00C51E7C">
              <w:rPr>
                <w:rFonts w:ascii="Cambria" w:hAnsi="Cambria" w:cs="Cambria"/>
                <w:i/>
                <w:iCs/>
                <w:sz w:val="22"/>
                <w:szCs w:val="22"/>
              </w:rPr>
              <w:t>ț</w:t>
            </w:r>
            <w:r w:rsidRPr="00C51E7C">
              <w:rPr>
                <w:rFonts w:ascii="Book Antiqua" w:hAnsi="Book Antiqua" w:cstheme="minorHAnsi"/>
                <w:i/>
                <w:iCs/>
                <w:sz w:val="22"/>
                <w:szCs w:val="22"/>
              </w:rPr>
              <w:t>ene de Fond Funciar</w:t>
            </w:r>
          </w:p>
        </w:tc>
        <w:tc>
          <w:tcPr>
            <w:tcW w:w="1009" w:type="pct"/>
            <w:tcBorders>
              <w:top w:val="dotted" w:sz="4" w:space="0" w:color="A6A6A6"/>
              <w:left w:val="double" w:sz="4" w:space="0" w:color="006600"/>
              <w:bottom w:val="dotted" w:sz="4" w:space="0" w:color="A6A6A6"/>
              <w:right w:val="nil"/>
            </w:tcBorders>
            <w:shd w:val="clear" w:color="auto" w:fill="auto"/>
          </w:tcPr>
          <w:p w14:paraId="29C2640E" w14:textId="50D4032F" w:rsidR="00852BF5" w:rsidRPr="00332301" w:rsidRDefault="00852BF5" w:rsidP="00852BF5">
            <w:pPr>
              <w:ind w:right="199"/>
              <w:rPr>
                <w:rFonts w:ascii="Times New Roman" w:hAnsi="Times New Roman"/>
                <w:b/>
                <w:bCs/>
                <w:i/>
                <w:iCs/>
                <w:sz w:val="20"/>
                <w:szCs w:val="20"/>
              </w:rPr>
            </w:pPr>
            <w:r w:rsidRPr="0009102B">
              <w:rPr>
                <w:rFonts w:ascii="Times New Roman" w:hAnsi="Times New Roman"/>
                <w:b/>
                <w:bCs/>
                <w:i/>
                <w:iCs/>
                <w:sz w:val="20"/>
                <w:szCs w:val="20"/>
              </w:rPr>
              <w:t>25 noiembrie 2021</w:t>
            </w:r>
          </w:p>
        </w:tc>
      </w:tr>
      <w:tr w:rsidR="00852BF5" w:rsidRPr="00332301" w14:paraId="13769B78" w14:textId="77777777" w:rsidTr="005644A5">
        <w:trPr>
          <w:trHeight w:val="399"/>
        </w:trPr>
        <w:tc>
          <w:tcPr>
            <w:tcW w:w="3991" w:type="pct"/>
            <w:tcBorders>
              <w:top w:val="dotted" w:sz="4" w:space="0" w:color="A6A6A6"/>
              <w:left w:val="nil"/>
              <w:bottom w:val="dotted" w:sz="4" w:space="0" w:color="A6A6A6"/>
              <w:right w:val="double" w:sz="4" w:space="0" w:color="006600"/>
            </w:tcBorders>
            <w:shd w:val="clear" w:color="auto" w:fill="auto"/>
          </w:tcPr>
          <w:p w14:paraId="366EE487" w14:textId="1A571A26"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primarul comunei Rapoltu Mare, domnul Roman Octavian</w:t>
            </w:r>
          </w:p>
        </w:tc>
        <w:tc>
          <w:tcPr>
            <w:tcW w:w="1009" w:type="pct"/>
            <w:tcBorders>
              <w:top w:val="dotted" w:sz="4" w:space="0" w:color="A6A6A6"/>
              <w:left w:val="double" w:sz="4" w:space="0" w:color="006600"/>
              <w:bottom w:val="dotted" w:sz="4" w:space="0" w:color="A6A6A6"/>
              <w:right w:val="nil"/>
            </w:tcBorders>
            <w:shd w:val="clear" w:color="auto" w:fill="auto"/>
          </w:tcPr>
          <w:p w14:paraId="5741D433" w14:textId="1D9BE0F1" w:rsidR="00852BF5" w:rsidRPr="00332301" w:rsidRDefault="00852BF5" w:rsidP="00852BF5">
            <w:pPr>
              <w:ind w:right="199"/>
              <w:rPr>
                <w:rFonts w:ascii="Times New Roman" w:hAnsi="Times New Roman"/>
                <w:b/>
                <w:bCs/>
                <w:i/>
                <w:iCs/>
                <w:sz w:val="20"/>
                <w:szCs w:val="20"/>
              </w:rPr>
            </w:pPr>
            <w:r w:rsidRPr="0009102B">
              <w:rPr>
                <w:rFonts w:ascii="Times New Roman" w:hAnsi="Times New Roman"/>
                <w:b/>
                <w:bCs/>
                <w:i/>
                <w:iCs/>
                <w:sz w:val="20"/>
                <w:szCs w:val="20"/>
              </w:rPr>
              <w:t>25 noiembrie 2021</w:t>
            </w:r>
          </w:p>
        </w:tc>
      </w:tr>
      <w:tr w:rsidR="00852BF5" w:rsidRPr="00332301" w14:paraId="203B6BF6" w14:textId="77777777" w:rsidTr="005644A5">
        <w:trPr>
          <w:trHeight w:val="277"/>
        </w:trPr>
        <w:tc>
          <w:tcPr>
            <w:tcW w:w="3991" w:type="pct"/>
            <w:tcBorders>
              <w:top w:val="dotted" w:sz="4" w:space="0" w:color="A6A6A6"/>
              <w:left w:val="nil"/>
              <w:bottom w:val="dotted" w:sz="4" w:space="0" w:color="A6A6A6"/>
              <w:right w:val="double" w:sz="4" w:space="0" w:color="006600"/>
            </w:tcBorders>
            <w:shd w:val="clear" w:color="auto" w:fill="auto"/>
          </w:tcPr>
          <w:p w14:paraId="35BCD539" w14:textId="16465E10" w:rsidR="00852BF5" w:rsidRPr="00043EBE"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administratorul special al CEH Hunedoara, Cristian Ro</w:t>
            </w:r>
            <w:r w:rsidRPr="00C51E7C">
              <w:rPr>
                <w:rFonts w:ascii="Cambria" w:hAnsi="Cambria" w:cs="Cambria"/>
                <w:i/>
                <w:iCs/>
                <w:sz w:val="22"/>
                <w:szCs w:val="22"/>
              </w:rPr>
              <w:t>ș</w:t>
            </w:r>
            <w:r w:rsidRPr="00C51E7C">
              <w:rPr>
                <w:rFonts w:ascii="Book Antiqua" w:hAnsi="Book Antiqua" w:cstheme="minorHAnsi"/>
                <w:i/>
                <w:iCs/>
                <w:sz w:val="22"/>
                <w:szCs w:val="22"/>
              </w:rPr>
              <w:t>u</w:t>
            </w:r>
          </w:p>
        </w:tc>
        <w:tc>
          <w:tcPr>
            <w:tcW w:w="1009" w:type="pct"/>
            <w:tcBorders>
              <w:top w:val="dotted" w:sz="4" w:space="0" w:color="A6A6A6"/>
              <w:left w:val="double" w:sz="4" w:space="0" w:color="006600"/>
              <w:bottom w:val="dotted" w:sz="4" w:space="0" w:color="A6A6A6"/>
              <w:right w:val="nil"/>
            </w:tcBorders>
            <w:shd w:val="clear" w:color="auto" w:fill="auto"/>
          </w:tcPr>
          <w:p w14:paraId="284CAAA6" w14:textId="3263FF3F" w:rsidR="00852BF5" w:rsidRPr="00332301" w:rsidRDefault="00852BF5" w:rsidP="00852BF5">
            <w:pPr>
              <w:ind w:right="199"/>
              <w:rPr>
                <w:rFonts w:ascii="Times New Roman" w:hAnsi="Times New Roman"/>
                <w:b/>
                <w:bCs/>
                <w:i/>
                <w:iCs/>
                <w:sz w:val="20"/>
                <w:szCs w:val="20"/>
              </w:rPr>
            </w:pPr>
            <w:r w:rsidRPr="0009102B">
              <w:rPr>
                <w:rFonts w:ascii="Times New Roman" w:hAnsi="Times New Roman"/>
                <w:b/>
                <w:bCs/>
                <w:i/>
                <w:iCs/>
                <w:sz w:val="20"/>
                <w:szCs w:val="20"/>
              </w:rPr>
              <w:t>25 noiembrie 2021</w:t>
            </w:r>
          </w:p>
        </w:tc>
      </w:tr>
      <w:tr w:rsidR="00852BF5" w:rsidRPr="00332301" w14:paraId="36034EF0" w14:textId="77777777" w:rsidTr="005644A5">
        <w:trPr>
          <w:trHeight w:val="494"/>
        </w:trPr>
        <w:tc>
          <w:tcPr>
            <w:tcW w:w="3991" w:type="pct"/>
            <w:tcBorders>
              <w:top w:val="dotted" w:sz="4" w:space="0" w:color="A6A6A6"/>
              <w:left w:val="nil"/>
              <w:bottom w:val="dotted" w:sz="4" w:space="0" w:color="A6A6A6"/>
              <w:right w:val="double" w:sz="4" w:space="0" w:color="006600"/>
            </w:tcBorders>
            <w:shd w:val="clear" w:color="auto" w:fill="auto"/>
          </w:tcPr>
          <w:p w14:paraId="43BC9323" w14:textId="70FA3AA2" w:rsidR="00852BF5" w:rsidRPr="00852BF5" w:rsidRDefault="00852BF5" w:rsidP="00852BF5">
            <w:pPr>
              <w:spacing w:before="40"/>
              <w:ind w:right="198"/>
              <w:jc w:val="both"/>
              <w:rPr>
                <w:rFonts w:ascii="Book Antiqua" w:hAnsi="Book Antiqua" w:cstheme="minorHAnsi"/>
                <w:i/>
                <w:iCs/>
                <w:sz w:val="22"/>
                <w:szCs w:val="22"/>
              </w:rPr>
            </w:pPr>
            <w:r w:rsidRPr="00C51E7C">
              <w:rPr>
                <w:rFonts w:ascii="Cambria" w:hAnsi="Cambria" w:cs="Cambria"/>
                <w:i/>
                <w:iCs/>
                <w:sz w:val="22"/>
                <w:szCs w:val="22"/>
              </w:rPr>
              <w:t>Ș</w:t>
            </w:r>
            <w:r w:rsidRPr="00C51E7C">
              <w:rPr>
                <w:rFonts w:ascii="Book Antiqua" w:hAnsi="Book Antiqua" w:cstheme="minorHAnsi"/>
                <w:i/>
                <w:iCs/>
                <w:sz w:val="22"/>
                <w:szCs w:val="22"/>
              </w:rPr>
              <w:t>edin</w:t>
            </w:r>
            <w:r w:rsidRPr="00C51E7C">
              <w:rPr>
                <w:rFonts w:ascii="Cambria" w:hAnsi="Cambria" w:cs="Cambria"/>
                <w:i/>
                <w:iCs/>
                <w:sz w:val="22"/>
                <w:szCs w:val="22"/>
              </w:rPr>
              <w:t>ț</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cu Autoritatea Teritorial</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de Ordine Public</w:t>
            </w:r>
            <w:r w:rsidRPr="00C51E7C">
              <w:rPr>
                <w:rFonts w:ascii="Book Antiqua" w:hAnsi="Book Antiqua" w:cs="Book Antiqua"/>
                <w:i/>
                <w:iCs/>
                <w:sz w:val="22"/>
                <w:szCs w:val="22"/>
              </w:rPr>
              <w:t>ă</w:t>
            </w:r>
          </w:p>
        </w:tc>
        <w:tc>
          <w:tcPr>
            <w:tcW w:w="1009" w:type="pct"/>
            <w:tcBorders>
              <w:top w:val="dotted" w:sz="4" w:space="0" w:color="A6A6A6"/>
              <w:left w:val="double" w:sz="4" w:space="0" w:color="006600"/>
              <w:bottom w:val="dotted" w:sz="4" w:space="0" w:color="A6A6A6"/>
              <w:right w:val="nil"/>
            </w:tcBorders>
            <w:shd w:val="clear" w:color="auto" w:fill="auto"/>
          </w:tcPr>
          <w:p w14:paraId="34658746" w14:textId="4143D932" w:rsidR="00852BF5" w:rsidRDefault="00852BF5" w:rsidP="00852BF5">
            <w:pPr>
              <w:ind w:right="199"/>
              <w:rPr>
                <w:rFonts w:ascii="Times New Roman" w:hAnsi="Times New Roman"/>
                <w:b/>
                <w:bCs/>
                <w:i/>
                <w:iCs/>
                <w:sz w:val="20"/>
                <w:szCs w:val="20"/>
              </w:rPr>
            </w:pPr>
            <w:r w:rsidRPr="0009102B">
              <w:rPr>
                <w:rFonts w:ascii="Times New Roman" w:hAnsi="Times New Roman"/>
                <w:b/>
                <w:bCs/>
                <w:i/>
                <w:iCs/>
                <w:sz w:val="20"/>
                <w:szCs w:val="20"/>
              </w:rPr>
              <w:t>25 noiembrie 2021</w:t>
            </w:r>
          </w:p>
        </w:tc>
      </w:tr>
      <w:tr w:rsidR="00852BF5" w:rsidRPr="00332301" w14:paraId="2CECA776" w14:textId="77777777" w:rsidTr="007E63BF">
        <w:trPr>
          <w:trHeight w:val="717"/>
        </w:trPr>
        <w:tc>
          <w:tcPr>
            <w:tcW w:w="3991" w:type="pct"/>
            <w:tcBorders>
              <w:top w:val="dotted" w:sz="4" w:space="0" w:color="A6A6A6"/>
              <w:left w:val="nil"/>
              <w:bottom w:val="dotted" w:sz="4" w:space="0" w:color="A6A6A6"/>
              <w:right w:val="double" w:sz="4" w:space="0" w:color="006600"/>
            </w:tcBorders>
            <w:shd w:val="clear" w:color="auto" w:fill="auto"/>
          </w:tcPr>
          <w:p w14:paraId="3BBF822F" w14:textId="0DE122A0" w:rsidR="00852BF5" w:rsidRPr="00852BF5" w:rsidRDefault="00852BF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Deplasare la Baza de Depozitare Drumuri Na</w:t>
            </w:r>
            <w:r w:rsidRPr="00C51E7C">
              <w:rPr>
                <w:rFonts w:ascii="Cambria" w:hAnsi="Cambria" w:cs="Cambria"/>
                <w:i/>
                <w:iCs/>
                <w:sz w:val="22"/>
                <w:szCs w:val="22"/>
              </w:rPr>
              <w:t>ț</w:t>
            </w:r>
            <w:r w:rsidRPr="00C51E7C">
              <w:rPr>
                <w:rFonts w:ascii="Book Antiqua" w:hAnsi="Book Antiqua" w:cstheme="minorHAnsi"/>
                <w:i/>
                <w:iCs/>
                <w:sz w:val="22"/>
                <w:szCs w:val="22"/>
              </w:rPr>
              <w:t xml:space="preserve">ionale, din cadrul Districtului </w:t>
            </w:r>
            <w:r w:rsidRPr="00C51E7C">
              <w:rPr>
                <w:rFonts w:ascii="Cambria" w:hAnsi="Cambria" w:cs="Cambria"/>
                <w:i/>
                <w:iCs/>
                <w:sz w:val="22"/>
                <w:szCs w:val="22"/>
              </w:rPr>
              <w:t>Ș</w:t>
            </w:r>
            <w:r w:rsidRPr="00C51E7C">
              <w:rPr>
                <w:rFonts w:ascii="Book Antiqua" w:hAnsi="Book Antiqua" w:cstheme="minorHAnsi"/>
                <w:i/>
                <w:iCs/>
                <w:sz w:val="22"/>
                <w:szCs w:val="22"/>
              </w:rPr>
              <w:t>oimu</w:t>
            </w:r>
            <w:r w:rsidRPr="00C51E7C">
              <w:rPr>
                <w:rFonts w:ascii="Cambria" w:hAnsi="Cambria" w:cs="Cambria"/>
                <w:i/>
                <w:iCs/>
                <w:sz w:val="22"/>
                <w:szCs w:val="22"/>
              </w:rPr>
              <w:t>ș</w:t>
            </w:r>
            <w:r w:rsidRPr="00C51E7C">
              <w:rPr>
                <w:rFonts w:ascii="Book Antiqua" w:hAnsi="Book Antiqua" w:cstheme="minorHAnsi"/>
                <w:i/>
                <w:iCs/>
                <w:sz w:val="22"/>
                <w:szCs w:val="22"/>
              </w:rPr>
              <w:t>, pentru a verifica situa</w:t>
            </w:r>
            <w:r w:rsidRPr="00C51E7C">
              <w:rPr>
                <w:rFonts w:ascii="Cambria" w:hAnsi="Cambria" w:cs="Cambria"/>
                <w:i/>
                <w:iCs/>
                <w:sz w:val="22"/>
                <w:szCs w:val="22"/>
              </w:rPr>
              <w:t>ț</w:t>
            </w:r>
            <w:r w:rsidRPr="00C51E7C">
              <w:rPr>
                <w:rFonts w:ascii="Book Antiqua" w:hAnsi="Book Antiqua" w:cstheme="minorHAnsi"/>
                <w:i/>
                <w:iCs/>
                <w:sz w:val="22"/>
                <w:szCs w:val="22"/>
              </w:rPr>
              <w:t xml:space="preserve">ia stocurilor de materiale pentru deszăpezirea autostrăzii </w:t>
            </w:r>
            <w:r w:rsidRPr="00C51E7C">
              <w:rPr>
                <w:rFonts w:ascii="Cambria" w:hAnsi="Cambria" w:cs="Cambria"/>
                <w:i/>
                <w:iCs/>
                <w:sz w:val="22"/>
                <w:szCs w:val="22"/>
              </w:rPr>
              <w:t>ș</w:t>
            </w:r>
            <w:r w:rsidRPr="00C51E7C">
              <w:rPr>
                <w:rFonts w:ascii="Book Antiqua" w:hAnsi="Book Antiqua" w:cstheme="minorHAnsi"/>
                <w:i/>
                <w:iCs/>
                <w:sz w:val="22"/>
                <w:szCs w:val="22"/>
              </w:rPr>
              <w:t>i a drumurilor na</w:t>
            </w:r>
            <w:r w:rsidRPr="00C51E7C">
              <w:rPr>
                <w:rFonts w:ascii="Cambria" w:hAnsi="Cambria" w:cs="Cambria"/>
                <w:i/>
                <w:iCs/>
                <w:sz w:val="22"/>
                <w:szCs w:val="22"/>
              </w:rPr>
              <w:t>ț</w:t>
            </w:r>
            <w:r w:rsidRPr="00C51E7C">
              <w:rPr>
                <w:rFonts w:ascii="Book Antiqua" w:hAnsi="Book Antiqua" w:cstheme="minorHAnsi"/>
                <w:i/>
                <w:iCs/>
                <w:sz w:val="22"/>
                <w:szCs w:val="22"/>
              </w:rPr>
              <w:t>ionale hunedorene</w:t>
            </w:r>
          </w:p>
        </w:tc>
        <w:tc>
          <w:tcPr>
            <w:tcW w:w="1009" w:type="pct"/>
            <w:tcBorders>
              <w:top w:val="dotted" w:sz="4" w:space="0" w:color="A6A6A6"/>
              <w:left w:val="double" w:sz="4" w:space="0" w:color="006600"/>
              <w:bottom w:val="dotted" w:sz="4" w:space="0" w:color="A6A6A6"/>
              <w:right w:val="nil"/>
            </w:tcBorders>
            <w:shd w:val="clear" w:color="auto" w:fill="auto"/>
          </w:tcPr>
          <w:p w14:paraId="3CF20D15" w14:textId="62F03B50" w:rsidR="00852BF5" w:rsidRDefault="00852BF5" w:rsidP="00852BF5">
            <w:pPr>
              <w:ind w:right="199"/>
              <w:rPr>
                <w:rFonts w:ascii="Times New Roman" w:hAnsi="Times New Roman"/>
                <w:b/>
                <w:bCs/>
                <w:i/>
                <w:iCs/>
                <w:sz w:val="20"/>
                <w:szCs w:val="20"/>
              </w:rPr>
            </w:pPr>
            <w:r w:rsidRPr="0009102B">
              <w:rPr>
                <w:rFonts w:ascii="Times New Roman" w:hAnsi="Times New Roman"/>
                <w:b/>
                <w:bCs/>
                <w:i/>
                <w:iCs/>
                <w:sz w:val="20"/>
                <w:szCs w:val="20"/>
              </w:rPr>
              <w:t>25 noiembrie 2021</w:t>
            </w:r>
          </w:p>
        </w:tc>
      </w:tr>
      <w:tr w:rsidR="00852BF5" w:rsidRPr="00332301" w14:paraId="32BC4610" w14:textId="77777777" w:rsidTr="005644A5">
        <w:trPr>
          <w:trHeight w:val="309"/>
        </w:trPr>
        <w:tc>
          <w:tcPr>
            <w:tcW w:w="3991" w:type="pct"/>
            <w:tcBorders>
              <w:top w:val="dotted" w:sz="4" w:space="0" w:color="A6A6A6"/>
              <w:left w:val="nil"/>
              <w:bottom w:val="dotted" w:sz="4" w:space="0" w:color="A6A6A6"/>
              <w:right w:val="double" w:sz="4" w:space="0" w:color="006600"/>
            </w:tcBorders>
            <w:shd w:val="clear" w:color="auto" w:fill="auto"/>
          </w:tcPr>
          <w:p w14:paraId="01C9BB5A" w14:textId="4AD02577" w:rsidR="00852BF5" w:rsidRPr="005644A5" w:rsidRDefault="005644A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Întâlnire de lucru cu primarul comunei Bunila</w:t>
            </w:r>
          </w:p>
        </w:tc>
        <w:tc>
          <w:tcPr>
            <w:tcW w:w="1009" w:type="pct"/>
            <w:tcBorders>
              <w:top w:val="dotted" w:sz="4" w:space="0" w:color="A6A6A6"/>
              <w:left w:val="double" w:sz="4" w:space="0" w:color="006600"/>
              <w:bottom w:val="dotted" w:sz="4" w:space="0" w:color="A6A6A6"/>
              <w:right w:val="nil"/>
            </w:tcBorders>
            <w:shd w:val="clear" w:color="auto" w:fill="auto"/>
          </w:tcPr>
          <w:p w14:paraId="332522FE" w14:textId="101B0CDC" w:rsidR="00852BF5" w:rsidRPr="0009102B" w:rsidRDefault="005644A5" w:rsidP="00852BF5">
            <w:pPr>
              <w:ind w:right="199"/>
              <w:rPr>
                <w:rFonts w:ascii="Times New Roman" w:hAnsi="Times New Roman"/>
                <w:b/>
                <w:bCs/>
                <w:i/>
                <w:iCs/>
                <w:sz w:val="20"/>
                <w:szCs w:val="20"/>
              </w:rPr>
            </w:pPr>
            <w:r>
              <w:rPr>
                <w:rFonts w:ascii="Times New Roman" w:hAnsi="Times New Roman"/>
                <w:b/>
                <w:bCs/>
                <w:i/>
                <w:iCs/>
                <w:sz w:val="20"/>
                <w:szCs w:val="20"/>
              </w:rPr>
              <w:t xml:space="preserve">26 </w:t>
            </w:r>
            <w:r w:rsidRPr="0009102B">
              <w:rPr>
                <w:rFonts w:ascii="Times New Roman" w:hAnsi="Times New Roman"/>
                <w:b/>
                <w:bCs/>
                <w:i/>
                <w:iCs/>
                <w:sz w:val="20"/>
                <w:szCs w:val="20"/>
              </w:rPr>
              <w:t>noiembrie 2021</w:t>
            </w:r>
          </w:p>
        </w:tc>
      </w:tr>
      <w:tr w:rsidR="005644A5" w:rsidRPr="00332301" w14:paraId="781C89CB" w14:textId="77777777" w:rsidTr="005644A5">
        <w:trPr>
          <w:trHeight w:val="243"/>
        </w:trPr>
        <w:tc>
          <w:tcPr>
            <w:tcW w:w="3991" w:type="pct"/>
            <w:tcBorders>
              <w:top w:val="dotted" w:sz="4" w:space="0" w:color="A6A6A6"/>
              <w:left w:val="nil"/>
              <w:bottom w:val="dotted" w:sz="4" w:space="0" w:color="A6A6A6"/>
              <w:right w:val="double" w:sz="4" w:space="0" w:color="006600"/>
            </w:tcBorders>
            <w:shd w:val="clear" w:color="auto" w:fill="auto"/>
          </w:tcPr>
          <w:p w14:paraId="11FCEA4C" w14:textId="0B925C36" w:rsidR="005644A5" w:rsidRPr="005644A5" w:rsidRDefault="005644A5" w:rsidP="00852BF5">
            <w:pPr>
              <w:spacing w:before="40"/>
              <w:ind w:right="198"/>
              <w:jc w:val="both"/>
              <w:rPr>
                <w:rFonts w:ascii="Book Antiqua" w:hAnsi="Book Antiqua" w:cstheme="minorHAnsi"/>
                <w:i/>
                <w:iCs/>
                <w:sz w:val="22"/>
                <w:szCs w:val="22"/>
              </w:rPr>
            </w:pPr>
            <w:r w:rsidRPr="00C51E7C">
              <w:rPr>
                <w:rFonts w:ascii="Book Antiqua" w:hAnsi="Book Antiqua" w:cstheme="minorHAnsi"/>
                <w:i/>
                <w:iCs/>
                <w:sz w:val="22"/>
                <w:szCs w:val="22"/>
              </w:rPr>
              <w:t>Participare la întâlnirea organizată de Administra</w:t>
            </w:r>
            <w:r w:rsidRPr="00C51E7C">
              <w:rPr>
                <w:rFonts w:ascii="Cambria" w:hAnsi="Cambria" w:cs="Cambria"/>
                <w:i/>
                <w:iCs/>
                <w:sz w:val="22"/>
                <w:szCs w:val="22"/>
              </w:rPr>
              <w:t>ț</w:t>
            </w:r>
            <w:r w:rsidRPr="00C51E7C">
              <w:rPr>
                <w:rFonts w:ascii="Book Antiqua" w:hAnsi="Book Antiqua" w:cstheme="minorHAnsi"/>
                <w:i/>
                <w:iCs/>
                <w:sz w:val="22"/>
                <w:szCs w:val="22"/>
              </w:rPr>
              <w:t>ia Bazinal</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de Ap</w:t>
            </w:r>
            <w:r w:rsidRPr="00C51E7C">
              <w:rPr>
                <w:rFonts w:ascii="Book Antiqua" w:hAnsi="Book Antiqua" w:cs="Book Antiqua"/>
                <w:i/>
                <w:iCs/>
                <w:sz w:val="22"/>
                <w:szCs w:val="22"/>
              </w:rPr>
              <w:t>ă</w:t>
            </w:r>
            <w:r w:rsidRPr="00C51E7C">
              <w:rPr>
                <w:rFonts w:ascii="Book Antiqua" w:hAnsi="Book Antiqua" w:cstheme="minorHAnsi"/>
                <w:i/>
                <w:iCs/>
                <w:sz w:val="22"/>
                <w:szCs w:val="22"/>
              </w:rPr>
              <w:t xml:space="preserve"> Mure</w:t>
            </w:r>
            <w:r w:rsidRPr="00C51E7C">
              <w:rPr>
                <w:rFonts w:ascii="Cambria" w:hAnsi="Cambria" w:cs="Cambria"/>
                <w:i/>
                <w:iCs/>
                <w:sz w:val="22"/>
                <w:szCs w:val="22"/>
              </w:rPr>
              <w:t>ș</w:t>
            </w:r>
          </w:p>
        </w:tc>
        <w:tc>
          <w:tcPr>
            <w:tcW w:w="1009" w:type="pct"/>
            <w:tcBorders>
              <w:top w:val="dotted" w:sz="4" w:space="0" w:color="A6A6A6"/>
              <w:left w:val="double" w:sz="4" w:space="0" w:color="006600"/>
              <w:bottom w:val="dotted" w:sz="4" w:space="0" w:color="A6A6A6"/>
              <w:right w:val="nil"/>
            </w:tcBorders>
            <w:shd w:val="clear" w:color="auto" w:fill="auto"/>
          </w:tcPr>
          <w:p w14:paraId="2EB530C4" w14:textId="1329A687" w:rsidR="005644A5" w:rsidRPr="0009102B" w:rsidRDefault="005644A5" w:rsidP="00852BF5">
            <w:pPr>
              <w:ind w:right="199"/>
              <w:rPr>
                <w:rFonts w:ascii="Times New Roman" w:hAnsi="Times New Roman"/>
                <w:b/>
                <w:bCs/>
                <w:i/>
                <w:iCs/>
                <w:sz w:val="20"/>
                <w:szCs w:val="20"/>
              </w:rPr>
            </w:pPr>
            <w:r>
              <w:rPr>
                <w:rFonts w:ascii="Times New Roman" w:hAnsi="Times New Roman"/>
                <w:b/>
                <w:bCs/>
                <w:i/>
                <w:iCs/>
                <w:sz w:val="20"/>
                <w:szCs w:val="20"/>
              </w:rPr>
              <w:t xml:space="preserve">26 </w:t>
            </w:r>
            <w:r w:rsidRPr="0009102B">
              <w:rPr>
                <w:rFonts w:ascii="Times New Roman" w:hAnsi="Times New Roman"/>
                <w:b/>
                <w:bCs/>
                <w:i/>
                <w:iCs/>
                <w:sz w:val="20"/>
                <w:szCs w:val="20"/>
              </w:rPr>
              <w:t>noiembrie 2021</w:t>
            </w:r>
          </w:p>
        </w:tc>
      </w:tr>
    </w:tbl>
    <w:p w14:paraId="3802920E" w14:textId="0D7B34DC"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47BF8FD" w:rsidR="00B577BB"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9334217"/>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CD4B20">
        <w:rPr>
          <w:rFonts w:ascii="Book Antiqua" w:hAnsi="Book Antiqua"/>
          <w:spacing w:val="-6"/>
          <w:sz w:val="20"/>
        </w:rPr>
        <w:t>22 - 26</w:t>
      </w:r>
      <w:r w:rsidR="00B802F4">
        <w:rPr>
          <w:rFonts w:ascii="Book Antiqua" w:hAnsi="Book Antiqua"/>
          <w:spacing w:val="-6"/>
          <w:sz w:val="20"/>
        </w:rPr>
        <w:t xml:space="preserve"> </w:t>
      </w:r>
      <w:r w:rsidR="00332301">
        <w:rPr>
          <w:rFonts w:ascii="Book Antiqua" w:hAnsi="Book Antiqua"/>
          <w:spacing w:val="-6"/>
          <w:sz w:val="20"/>
        </w:rPr>
        <w:t>noiembrie</w:t>
      </w:r>
      <w:r w:rsidR="00AB4E40" w:rsidRPr="00F50627">
        <w:rPr>
          <w:rFonts w:ascii="Book Antiqua" w:hAnsi="Book Antiqua"/>
          <w:spacing w:val="-6"/>
          <w:sz w:val="20"/>
        </w:rPr>
        <w:t>, 2021</w:t>
      </w:r>
      <w:bookmarkEnd w:id="21"/>
    </w:p>
    <w:p w14:paraId="56A6E32B" w14:textId="3A1F6394" w:rsidR="008C0DE3" w:rsidRPr="00F50627" w:rsidRDefault="008C0DE3" w:rsidP="008C0DE3">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110</w:t>
      </w:r>
      <w:r w:rsidR="003A6546">
        <w:rPr>
          <w:rFonts w:cs="Arial"/>
          <w:b/>
          <w:bCs/>
          <w:smallCaps/>
          <w:color w:val="0000FF"/>
          <w:szCs w:val="18"/>
          <w:u w:val="single"/>
        </w:rPr>
        <w:t>9</w:t>
      </w:r>
      <w:r w:rsidRPr="00F50627">
        <w:rPr>
          <w:rFonts w:cs="Arial"/>
          <w:b/>
          <w:bCs/>
          <w:smallCaps/>
          <w:color w:val="0000FF"/>
          <w:szCs w:val="18"/>
          <w:u w:val="single"/>
        </w:rPr>
        <w:t xml:space="preserve">/ </w:t>
      </w:r>
      <w:r w:rsidR="003A6546">
        <w:rPr>
          <w:rFonts w:cs="Arial"/>
          <w:b/>
          <w:bCs/>
          <w:smallCaps/>
          <w:color w:val="0000FF"/>
          <w:szCs w:val="18"/>
          <w:u w:val="single"/>
        </w:rPr>
        <w:t>22</w:t>
      </w:r>
      <w:r>
        <w:rPr>
          <w:rFonts w:cs="Arial"/>
          <w:b/>
          <w:bCs/>
          <w:smallCaps/>
          <w:color w:val="0000FF"/>
          <w:szCs w:val="18"/>
          <w:u w:val="single"/>
        </w:rPr>
        <w:t xml:space="preserve"> noiembrie</w:t>
      </w:r>
      <w:r w:rsidRPr="00F50627">
        <w:rPr>
          <w:rFonts w:cs="Arial"/>
          <w:b/>
          <w:bCs/>
          <w:smallCaps/>
          <w:color w:val="0000FF"/>
          <w:szCs w:val="18"/>
          <w:u w:val="single"/>
        </w:rPr>
        <w:t xml:space="preserve"> 2021</w:t>
      </w:r>
    </w:p>
    <w:p w14:paraId="0A741694" w14:textId="64821437" w:rsidR="00392703" w:rsidRPr="003A6546" w:rsidRDefault="003A6546" w:rsidP="008C0DE3">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1205</w:t>
      </w:r>
      <w:r w:rsidR="008C0DE3">
        <w:rPr>
          <w:rFonts w:ascii="Verdana" w:hAnsi="Verdana"/>
          <w:b/>
          <w:sz w:val="18"/>
          <w:szCs w:val="18"/>
          <w:lang w:val="ro-RO"/>
        </w:rPr>
        <w:t xml:space="preserve"> –</w:t>
      </w:r>
      <w:r w:rsidR="008C0DE3" w:rsidRPr="00F50627">
        <w:rPr>
          <w:rFonts w:ascii="Verdana" w:hAnsi="Verdana"/>
          <w:b/>
          <w:sz w:val="18"/>
          <w:szCs w:val="18"/>
          <w:lang w:val="ro-RO"/>
        </w:rPr>
        <w:t xml:space="preserve"> </w:t>
      </w:r>
      <w:r w:rsidRPr="003A6546">
        <w:rPr>
          <w:rFonts w:ascii="Verdana" w:hAnsi="Verdana" w:cs="Arial"/>
          <w:b/>
          <w:color w:val="153E7E"/>
          <w:sz w:val="18"/>
          <w:szCs w:val="18"/>
          <w:lang w:val="ro-RO"/>
        </w:rPr>
        <w:t>Guvernul României</w:t>
      </w:r>
      <w:r w:rsidR="008C0DE3">
        <w:rPr>
          <w:rFonts w:ascii="Verdana" w:hAnsi="Verdana" w:cs="Arial"/>
          <w:b/>
          <w:color w:val="153E7E"/>
          <w:sz w:val="18"/>
          <w:szCs w:val="18"/>
          <w:lang w:val="ro-RO"/>
        </w:rPr>
        <w:t xml:space="preserve"> </w:t>
      </w:r>
      <w:r w:rsidR="008C0DE3" w:rsidRPr="006359CA">
        <w:rPr>
          <w:rFonts w:ascii="Verdana" w:hAnsi="Verdana"/>
          <w:sz w:val="18"/>
          <w:szCs w:val="18"/>
        </w:rPr>
        <w:t>-</w:t>
      </w:r>
      <w:r w:rsidR="008C0DE3">
        <w:rPr>
          <w:rFonts w:ascii="Verdana" w:hAnsi="Verdana"/>
          <w:sz w:val="18"/>
          <w:szCs w:val="18"/>
        </w:rPr>
        <w:t xml:space="preserve"> </w:t>
      </w:r>
      <w:r w:rsidRPr="003A6546">
        <w:rPr>
          <w:rFonts w:ascii="Verdana" w:hAnsi="Verdana"/>
          <w:sz w:val="18"/>
          <w:szCs w:val="18"/>
          <w:lang w:val="ro-RO"/>
        </w:rPr>
        <w:t>Hotărâre privind aprobarea stemei comunei Sântămăria-Orlea, județul Hunedoara</w:t>
      </w:r>
    </w:p>
    <w:p w14:paraId="2EAAF34E" w14:textId="443D2984" w:rsidR="003A6546" w:rsidRPr="00F50627" w:rsidRDefault="003A6546" w:rsidP="003A6546">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1111</w:t>
      </w:r>
      <w:r w:rsidRPr="00F50627">
        <w:rPr>
          <w:rFonts w:cs="Arial"/>
          <w:b/>
          <w:bCs/>
          <w:smallCaps/>
          <w:color w:val="0000FF"/>
          <w:szCs w:val="18"/>
          <w:u w:val="single"/>
        </w:rPr>
        <w:t xml:space="preserve">/ </w:t>
      </w:r>
      <w:r>
        <w:rPr>
          <w:rFonts w:cs="Arial"/>
          <w:b/>
          <w:bCs/>
          <w:smallCaps/>
          <w:color w:val="0000FF"/>
          <w:szCs w:val="18"/>
          <w:u w:val="single"/>
        </w:rPr>
        <w:t>22 noiembrie</w:t>
      </w:r>
      <w:r w:rsidRPr="00F50627">
        <w:rPr>
          <w:rFonts w:cs="Arial"/>
          <w:b/>
          <w:bCs/>
          <w:smallCaps/>
          <w:color w:val="0000FF"/>
          <w:szCs w:val="18"/>
          <w:u w:val="single"/>
        </w:rPr>
        <w:t xml:space="preserve"> 2021</w:t>
      </w:r>
    </w:p>
    <w:p w14:paraId="6F44C569" w14:textId="6667510B" w:rsidR="003A6546" w:rsidRPr="006D2852" w:rsidRDefault="003A6546" w:rsidP="003A6546">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1290 –</w:t>
      </w:r>
      <w:r w:rsidRPr="00F50627">
        <w:rPr>
          <w:rFonts w:ascii="Verdana" w:hAnsi="Verdana"/>
          <w:b/>
          <w:sz w:val="18"/>
          <w:szCs w:val="18"/>
          <w:lang w:val="ro-RO"/>
        </w:rPr>
        <w:t xml:space="preserve"> </w:t>
      </w:r>
      <w:r w:rsidRPr="003A6546">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3A6546">
        <w:rPr>
          <w:rFonts w:ascii="Verdana" w:hAnsi="Verdana"/>
          <w:sz w:val="18"/>
          <w:szCs w:val="18"/>
          <w:lang w:val="ro-RO"/>
        </w:rPr>
        <w:t>Ordin pentru aprobarea Schemei de ajutor de stat - Sprijin pentru IMM-uri în vederea depășirii crizei economice generate de pandemia de COVID-19 - investiții productive</w:t>
      </w:r>
    </w:p>
    <w:p w14:paraId="5097F1D2" w14:textId="63695EDE" w:rsidR="00051EAF" w:rsidRPr="00F50627" w:rsidRDefault="00051EAF" w:rsidP="00051EAF">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1119</w:t>
      </w:r>
      <w:r w:rsidRPr="00F50627">
        <w:rPr>
          <w:rFonts w:cs="Arial"/>
          <w:b/>
          <w:bCs/>
          <w:smallCaps/>
          <w:color w:val="0000FF"/>
          <w:szCs w:val="18"/>
          <w:u w:val="single"/>
        </w:rPr>
        <w:t xml:space="preserve">/ </w:t>
      </w:r>
      <w:r>
        <w:rPr>
          <w:rFonts w:cs="Arial"/>
          <w:b/>
          <w:bCs/>
          <w:smallCaps/>
          <w:color w:val="0000FF"/>
          <w:szCs w:val="18"/>
          <w:u w:val="single"/>
        </w:rPr>
        <w:t>24 noiembrie</w:t>
      </w:r>
      <w:r w:rsidRPr="00F50627">
        <w:rPr>
          <w:rFonts w:cs="Arial"/>
          <w:b/>
          <w:bCs/>
          <w:smallCaps/>
          <w:color w:val="0000FF"/>
          <w:szCs w:val="18"/>
          <w:u w:val="single"/>
        </w:rPr>
        <w:t xml:space="preserve"> 2021</w:t>
      </w:r>
    </w:p>
    <w:p w14:paraId="7024E8F1" w14:textId="11AE1344" w:rsidR="00051EAF" w:rsidRPr="006D2852" w:rsidRDefault="00051EAF" w:rsidP="00051EAF">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564 –</w:t>
      </w:r>
      <w:r w:rsidRPr="00F50627">
        <w:rPr>
          <w:rFonts w:ascii="Verdana" w:hAnsi="Verdana"/>
          <w:b/>
          <w:sz w:val="18"/>
          <w:szCs w:val="18"/>
          <w:lang w:val="ro-RO"/>
        </w:rPr>
        <w:t xml:space="preserve"> </w:t>
      </w:r>
      <w:r w:rsidRPr="00051EAF">
        <w:rPr>
          <w:rFonts w:ascii="Verdana" w:hAnsi="Verdana" w:cs="Arial"/>
          <w:b/>
          <w:color w:val="153E7E"/>
          <w:sz w:val="18"/>
          <w:szCs w:val="18"/>
          <w:lang w:val="ro-RO"/>
        </w:rPr>
        <w:t>Autoritatea pentru Digitalizarea Românei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051EAF">
        <w:rPr>
          <w:rFonts w:ascii="Verdana" w:hAnsi="Verdana"/>
          <w:sz w:val="18"/>
          <w:szCs w:val="18"/>
          <w:lang w:val="ro-RO"/>
        </w:rPr>
        <w:t>Decizie pentru aprobarea Normelor privind reglementarea, recunoașterea, aprobarea sau acceptarea procedurii de identificare a persoanei la distanță utilizând mijloace video</w:t>
      </w:r>
    </w:p>
    <w:p w14:paraId="21EC7F77" w14:textId="5D9B3056" w:rsidR="00545AB4" w:rsidRPr="00F50627" w:rsidRDefault="00545AB4" w:rsidP="00545AB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1122</w:t>
      </w:r>
      <w:r w:rsidRPr="00F50627">
        <w:rPr>
          <w:rFonts w:cs="Arial"/>
          <w:b/>
          <w:bCs/>
          <w:smallCaps/>
          <w:color w:val="0000FF"/>
          <w:szCs w:val="18"/>
          <w:u w:val="single"/>
        </w:rPr>
        <w:t xml:space="preserve">/ </w:t>
      </w:r>
      <w:r>
        <w:rPr>
          <w:rFonts w:cs="Arial"/>
          <w:b/>
          <w:bCs/>
          <w:smallCaps/>
          <w:color w:val="0000FF"/>
          <w:szCs w:val="18"/>
          <w:u w:val="single"/>
        </w:rPr>
        <w:t>25 noiembrie</w:t>
      </w:r>
      <w:r w:rsidRPr="00F50627">
        <w:rPr>
          <w:rFonts w:cs="Arial"/>
          <w:b/>
          <w:bCs/>
          <w:smallCaps/>
          <w:color w:val="0000FF"/>
          <w:szCs w:val="18"/>
          <w:u w:val="single"/>
        </w:rPr>
        <w:t xml:space="preserve"> 2021</w:t>
      </w:r>
    </w:p>
    <w:p w14:paraId="08E2ABB6" w14:textId="38A47C1B" w:rsidR="00545AB4" w:rsidRPr="006D2852" w:rsidRDefault="00565964" w:rsidP="00545AB4">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42</w:t>
      </w:r>
      <w:r w:rsidR="00545AB4">
        <w:rPr>
          <w:rFonts w:ascii="Verdana" w:hAnsi="Verdana"/>
          <w:b/>
          <w:sz w:val="18"/>
          <w:szCs w:val="18"/>
          <w:lang w:val="ro-RO"/>
        </w:rPr>
        <w:t xml:space="preserve"> –</w:t>
      </w:r>
      <w:r w:rsidR="00545AB4" w:rsidRPr="00F50627">
        <w:rPr>
          <w:rFonts w:ascii="Verdana" w:hAnsi="Verdana"/>
          <w:b/>
          <w:sz w:val="18"/>
          <w:szCs w:val="18"/>
          <w:lang w:val="ro-RO"/>
        </w:rPr>
        <w:t xml:space="preserve"> </w:t>
      </w:r>
      <w:r w:rsidRPr="00565964">
        <w:rPr>
          <w:rFonts w:ascii="Verdana" w:hAnsi="Verdana" w:cs="Arial"/>
          <w:b/>
          <w:color w:val="153E7E"/>
          <w:sz w:val="18"/>
          <w:szCs w:val="18"/>
          <w:lang w:val="ro-RO"/>
        </w:rPr>
        <w:t>Parlamentul României</w:t>
      </w:r>
      <w:r w:rsidR="00545AB4">
        <w:rPr>
          <w:rFonts w:ascii="Verdana" w:hAnsi="Verdana" w:cs="Arial"/>
          <w:b/>
          <w:color w:val="153E7E"/>
          <w:sz w:val="18"/>
          <w:szCs w:val="18"/>
          <w:lang w:val="ro-RO"/>
        </w:rPr>
        <w:t xml:space="preserve"> </w:t>
      </w:r>
      <w:r w:rsidR="00545AB4" w:rsidRPr="006359CA">
        <w:rPr>
          <w:rFonts w:ascii="Verdana" w:hAnsi="Verdana"/>
          <w:sz w:val="18"/>
          <w:szCs w:val="18"/>
        </w:rPr>
        <w:t>-</w:t>
      </w:r>
      <w:r w:rsidR="00545AB4">
        <w:rPr>
          <w:rFonts w:ascii="Verdana" w:hAnsi="Verdana"/>
          <w:sz w:val="18"/>
          <w:szCs w:val="18"/>
        </w:rPr>
        <w:t xml:space="preserve"> </w:t>
      </w:r>
      <w:r w:rsidRPr="00565964">
        <w:rPr>
          <w:rFonts w:ascii="Verdana" w:hAnsi="Verdana"/>
          <w:sz w:val="18"/>
          <w:szCs w:val="18"/>
          <w:lang w:val="ro-RO"/>
        </w:rPr>
        <w:t>Hotărâre pentru acordarea încrederii Guvernului</w:t>
      </w:r>
    </w:p>
    <w:p w14:paraId="17D9EAC4" w14:textId="13511513" w:rsidR="00565964" w:rsidRPr="00F50627" w:rsidRDefault="00565964" w:rsidP="0056596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1124</w:t>
      </w:r>
      <w:r w:rsidRPr="00F50627">
        <w:rPr>
          <w:rFonts w:cs="Arial"/>
          <w:b/>
          <w:bCs/>
          <w:smallCaps/>
          <w:color w:val="0000FF"/>
          <w:szCs w:val="18"/>
          <w:u w:val="single"/>
        </w:rPr>
        <w:t xml:space="preserve">/ </w:t>
      </w:r>
      <w:r>
        <w:rPr>
          <w:rFonts w:cs="Arial"/>
          <w:b/>
          <w:bCs/>
          <w:smallCaps/>
          <w:color w:val="0000FF"/>
          <w:szCs w:val="18"/>
          <w:u w:val="single"/>
        </w:rPr>
        <w:t>25 noiembrie</w:t>
      </w:r>
      <w:r w:rsidRPr="00F50627">
        <w:rPr>
          <w:rFonts w:cs="Arial"/>
          <w:b/>
          <w:bCs/>
          <w:smallCaps/>
          <w:color w:val="0000FF"/>
          <w:szCs w:val="18"/>
          <w:u w:val="single"/>
        </w:rPr>
        <w:t xml:space="preserve"> 2021</w:t>
      </w:r>
    </w:p>
    <w:p w14:paraId="1E101864" w14:textId="5B11F6CA" w:rsidR="00565964" w:rsidRPr="006D2852" w:rsidRDefault="00565964" w:rsidP="00565964">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1132 –</w:t>
      </w:r>
      <w:r w:rsidRPr="00F50627">
        <w:rPr>
          <w:rFonts w:ascii="Verdana" w:hAnsi="Verdana"/>
          <w:b/>
          <w:sz w:val="18"/>
          <w:szCs w:val="18"/>
          <w:lang w:val="ro-RO"/>
        </w:rPr>
        <w:t xml:space="preserve"> </w:t>
      </w:r>
      <w:r w:rsidRPr="00565964">
        <w:rPr>
          <w:rFonts w:ascii="Verdana" w:hAnsi="Verdana" w:cs="Arial"/>
          <w:b/>
          <w:color w:val="153E7E"/>
          <w:sz w:val="18"/>
          <w:szCs w:val="18"/>
          <w:lang w:val="ro-RO"/>
        </w:rPr>
        <w:t>Președintele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565964">
        <w:rPr>
          <w:rFonts w:ascii="Verdana" w:hAnsi="Verdana"/>
          <w:sz w:val="18"/>
          <w:szCs w:val="18"/>
          <w:lang w:val="ro-RO"/>
        </w:rPr>
        <w:t>Decret pentru numirea Guvernului României</w:t>
      </w:r>
    </w:p>
    <w:p w14:paraId="3080373A" w14:textId="7F9FFCDA" w:rsidR="00A4744E" w:rsidRPr="00F50627" w:rsidRDefault="00A4744E" w:rsidP="00A4744E">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1127</w:t>
      </w:r>
      <w:r w:rsidRPr="00F50627">
        <w:rPr>
          <w:rFonts w:cs="Arial"/>
          <w:b/>
          <w:bCs/>
          <w:smallCaps/>
          <w:color w:val="0000FF"/>
          <w:szCs w:val="18"/>
          <w:u w:val="single"/>
        </w:rPr>
        <w:t xml:space="preserve">/ </w:t>
      </w:r>
      <w:r>
        <w:rPr>
          <w:rFonts w:cs="Arial"/>
          <w:b/>
          <w:bCs/>
          <w:smallCaps/>
          <w:color w:val="0000FF"/>
          <w:szCs w:val="18"/>
          <w:u w:val="single"/>
        </w:rPr>
        <w:t>25 noiembrie</w:t>
      </w:r>
      <w:r w:rsidRPr="00F50627">
        <w:rPr>
          <w:rFonts w:cs="Arial"/>
          <w:b/>
          <w:bCs/>
          <w:smallCaps/>
          <w:color w:val="0000FF"/>
          <w:szCs w:val="18"/>
          <w:u w:val="single"/>
        </w:rPr>
        <w:t xml:space="preserve"> 2021</w:t>
      </w:r>
    </w:p>
    <w:p w14:paraId="41D374C0" w14:textId="1964D08C" w:rsidR="00A4744E" w:rsidRPr="006D2852" w:rsidRDefault="00A4744E" w:rsidP="00A4744E">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276 –</w:t>
      </w:r>
      <w:r w:rsidRPr="00F50627">
        <w:rPr>
          <w:rFonts w:ascii="Verdana" w:hAnsi="Verdana"/>
          <w:b/>
          <w:sz w:val="18"/>
          <w:szCs w:val="18"/>
          <w:lang w:val="ro-RO"/>
        </w:rPr>
        <w:t xml:space="preserve"> </w:t>
      </w:r>
      <w:r w:rsidRPr="00A4744E">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A4744E">
        <w:rPr>
          <w:rFonts w:ascii="Verdana" w:hAnsi="Verdana"/>
          <w:sz w:val="18"/>
          <w:szCs w:val="18"/>
          <w:lang w:val="ro-RO"/>
        </w:rPr>
        <w:t>Lege privind unele măsuri pentru studierea istoriei evreilor și a Holocaustului</w:t>
      </w:r>
    </w:p>
    <w:p w14:paraId="6A84727B" w14:textId="4005102E" w:rsidR="00565964" w:rsidRPr="006D2852" w:rsidRDefault="00A4744E" w:rsidP="00565964">
      <w:pPr>
        <w:pStyle w:val="ListParagraph"/>
        <w:numPr>
          <w:ilvl w:val="0"/>
          <w:numId w:val="3"/>
        </w:numPr>
        <w:spacing w:before="20"/>
        <w:ind w:right="57"/>
        <w:jc w:val="both"/>
        <w:rPr>
          <w:rFonts w:ascii="Verdana" w:hAnsi="Verdana"/>
          <w:sz w:val="18"/>
          <w:szCs w:val="18"/>
        </w:rPr>
      </w:pPr>
      <w:r w:rsidRPr="00A4744E">
        <w:rPr>
          <w:rFonts w:ascii="Verdana" w:hAnsi="Verdana"/>
          <w:b/>
          <w:sz w:val="18"/>
          <w:szCs w:val="18"/>
        </w:rPr>
        <w:t>121</w:t>
      </w:r>
      <w:r>
        <w:rPr>
          <w:rFonts w:ascii="Verdana" w:hAnsi="Verdana"/>
          <w:sz w:val="18"/>
          <w:szCs w:val="18"/>
        </w:rPr>
        <w:t xml:space="preserve"> - </w:t>
      </w:r>
      <w:r w:rsidRPr="00A4744E">
        <w:rPr>
          <w:rFonts w:ascii="Verdana" w:hAnsi="Verdana" w:cs="Arial"/>
          <w:b/>
          <w:color w:val="153E7E"/>
          <w:sz w:val="18"/>
          <w:szCs w:val="18"/>
          <w:lang w:val="ro-RO"/>
        </w:rPr>
        <w:t>Guvernul României</w:t>
      </w:r>
      <w:r>
        <w:rPr>
          <w:rFonts w:ascii="Verdana" w:hAnsi="Verdana"/>
          <w:sz w:val="18"/>
          <w:szCs w:val="18"/>
        </w:rPr>
        <w:t xml:space="preserve"> - </w:t>
      </w:r>
      <w:r w:rsidRPr="00A4744E">
        <w:rPr>
          <w:rFonts w:ascii="Verdana" w:hAnsi="Verdana"/>
          <w:sz w:val="18"/>
          <w:szCs w:val="18"/>
          <w:lang w:val="ro-RO"/>
        </w:rPr>
        <w:t>Ordonanță de urgență privind stabilirea unor măsuri la nivelul administrației publice centrale și pentru modificarea și completarea unor acte normative</w:t>
      </w:r>
    </w:p>
    <w:p w14:paraId="1D616929" w14:textId="09734F60" w:rsidR="005F544C" w:rsidRPr="00F50627" w:rsidRDefault="005F544C" w:rsidP="005F544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1137</w:t>
      </w:r>
      <w:r w:rsidRPr="00F50627">
        <w:rPr>
          <w:rFonts w:cs="Arial"/>
          <w:b/>
          <w:bCs/>
          <w:smallCaps/>
          <w:color w:val="0000FF"/>
          <w:szCs w:val="18"/>
          <w:u w:val="single"/>
        </w:rPr>
        <w:t xml:space="preserve">/ </w:t>
      </w:r>
      <w:r>
        <w:rPr>
          <w:rFonts w:cs="Arial"/>
          <w:b/>
          <w:bCs/>
          <w:smallCaps/>
          <w:color w:val="0000FF"/>
          <w:szCs w:val="18"/>
          <w:u w:val="single"/>
        </w:rPr>
        <w:t>26 noiembrie</w:t>
      </w:r>
      <w:r w:rsidRPr="00F50627">
        <w:rPr>
          <w:rFonts w:cs="Arial"/>
          <w:b/>
          <w:bCs/>
          <w:smallCaps/>
          <w:color w:val="0000FF"/>
          <w:szCs w:val="18"/>
          <w:u w:val="single"/>
        </w:rPr>
        <w:t xml:space="preserve"> 2021</w:t>
      </w:r>
    </w:p>
    <w:p w14:paraId="3D0C175F" w14:textId="5FF8B9E8" w:rsidR="005F544C" w:rsidRPr="006D2852" w:rsidRDefault="005F544C" w:rsidP="005F544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1237 –</w:t>
      </w:r>
      <w:r w:rsidRPr="00F50627">
        <w:rPr>
          <w:rFonts w:ascii="Verdana" w:hAnsi="Verdana"/>
          <w:b/>
          <w:sz w:val="18"/>
          <w:szCs w:val="18"/>
          <w:lang w:val="ro-RO"/>
        </w:rPr>
        <w:t xml:space="preserve"> </w:t>
      </w:r>
      <w:r w:rsidRPr="005F544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5F544C">
        <w:rPr>
          <w:rFonts w:ascii="Verdana" w:hAnsi="Verdana"/>
          <w:sz w:val="18"/>
          <w:szCs w:val="18"/>
          <w:lang w:val="ro-RO"/>
        </w:rPr>
        <w:t>Hotărâre privind stabilirea zilei de 29 noiembrie 2021 ca zi liberă</w:t>
      </w:r>
    </w:p>
    <w:p w14:paraId="798AB84A" w14:textId="736E28CD" w:rsidR="00D421BA" w:rsidRPr="00F50627" w:rsidRDefault="00D421BA" w:rsidP="00D421BA">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1138</w:t>
      </w:r>
      <w:r w:rsidRPr="00F50627">
        <w:rPr>
          <w:rFonts w:cs="Arial"/>
          <w:b/>
          <w:bCs/>
          <w:smallCaps/>
          <w:color w:val="0000FF"/>
          <w:szCs w:val="18"/>
          <w:u w:val="single"/>
        </w:rPr>
        <w:t xml:space="preserve">/ </w:t>
      </w:r>
      <w:r>
        <w:rPr>
          <w:rFonts w:cs="Arial"/>
          <w:b/>
          <w:bCs/>
          <w:smallCaps/>
          <w:color w:val="0000FF"/>
          <w:szCs w:val="18"/>
          <w:u w:val="single"/>
        </w:rPr>
        <w:t>26 noiembrie</w:t>
      </w:r>
      <w:r w:rsidRPr="00F50627">
        <w:rPr>
          <w:rFonts w:cs="Arial"/>
          <w:b/>
          <w:bCs/>
          <w:smallCaps/>
          <w:color w:val="0000FF"/>
          <w:szCs w:val="18"/>
          <w:u w:val="single"/>
        </w:rPr>
        <w:t xml:space="preserve"> 2021</w:t>
      </w:r>
    </w:p>
    <w:p w14:paraId="59CCF8D3" w14:textId="3A4F2EA8" w:rsidR="00D421BA" w:rsidRPr="006D2852" w:rsidRDefault="00D421BA" w:rsidP="00D421BA">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1238 –</w:t>
      </w:r>
      <w:r w:rsidRPr="00F50627">
        <w:rPr>
          <w:rFonts w:ascii="Verdana" w:hAnsi="Verdana"/>
          <w:b/>
          <w:sz w:val="18"/>
          <w:szCs w:val="18"/>
          <w:lang w:val="ro-RO"/>
        </w:rPr>
        <w:t xml:space="preserve"> </w:t>
      </w:r>
      <w:r w:rsidRPr="005F544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Pr="00D421BA">
        <w:rPr>
          <w:rFonts w:ascii="Verdana" w:hAnsi="Verdana"/>
          <w:sz w:val="18"/>
          <w:szCs w:val="18"/>
          <w:lang w:val="ro-RO"/>
        </w:rPr>
        <w:t>Hotărâre pentru modificarea și completarea anexelor nr. 2 și 3 la Hotărârea Guvernului nr. 1.183/2021 privind prelungirea stării de alertă pe teritoriul României începând cu data de 9 noiembrie 2021, precum și stabilirea măsurilor care se aplică pe durata acesteia pentru prevenirea și combaterea efectelor pandemiei de COVID-19</w:t>
      </w:r>
    </w:p>
    <w:p w14:paraId="134DC19B" w14:textId="6CFE826C" w:rsidR="00D421BA" w:rsidRPr="00F50627" w:rsidRDefault="00D421BA" w:rsidP="00D421BA">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1142</w:t>
      </w:r>
      <w:r w:rsidRPr="00F50627">
        <w:rPr>
          <w:rFonts w:cs="Arial"/>
          <w:b/>
          <w:bCs/>
          <w:smallCaps/>
          <w:color w:val="0000FF"/>
          <w:szCs w:val="18"/>
          <w:u w:val="single"/>
        </w:rPr>
        <w:t xml:space="preserve">/ </w:t>
      </w:r>
      <w:r>
        <w:rPr>
          <w:rFonts w:cs="Arial"/>
          <w:b/>
          <w:bCs/>
          <w:smallCaps/>
          <w:color w:val="0000FF"/>
          <w:szCs w:val="18"/>
          <w:u w:val="single"/>
        </w:rPr>
        <w:t>26 noiembrie</w:t>
      </w:r>
      <w:r w:rsidRPr="00F50627">
        <w:rPr>
          <w:rFonts w:cs="Arial"/>
          <w:b/>
          <w:bCs/>
          <w:smallCaps/>
          <w:color w:val="0000FF"/>
          <w:szCs w:val="18"/>
          <w:u w:val="single"/>
        </w:rPr>
        <w:t xml:space="preserve"> 2021</w:t>
      </w:r>
    </w:p>
    <w:p w14:paraId="2103ED15" w14:textId="55C24C19" w:rsidR="003A6546" w:rsidRPr="006D2852" w:rsidRDefault="00D421BA" w:rsidP="00D421BA">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123 –</w:t>
      </w:r>
      <w:r w:rsidRPr="00F50627">
        <w:rPr>
          <w:rFonts w:ascii="Verdana" w:hAnsi="Verdana"/>
          <w:b/>
          <w:sz w:val="18"/>
          <w:szCs w:val="18"/>
          <w:lang w:val="ro-RO"/>
        </w:rPr>
        <w:t xml:space="preserve"> </w:t>
      </w:r>
      <w:r w:rsidRPr="005F544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Pr>
          <w:rFonts w:ascii="Verdana" w:hAnsi="Verdana"/>
          <w:sz w:val="18"/>
          <w:szCs w:val="18"/>
        </w:rPr>
        <w:t xml:space="preserve"> </w:t>
      </w:r>
      <w:r w:rsidR="000D5C6B" w:rsidRPr="000D5C6B">
        <w:rPr>
          <w:rFonts w:ascii="Verdana" w:hAnsi="Verdana"/>
          <w:sz w:val="18"/>
          <w:szCs w:val="18"/>
          <w:lang w:val="ro-RO"/>
        </w:rPr>
        <w:t>Ordonanță de urgență pentru rectificarea bugetului asigurărilor sociale de stat pe anul 2021</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0C0CEE28" w14:textId="7388F4ED" w:rsidR="00F56410" w:rsidRDefault="00F56410" w:rsidP="002E2472">
      <w:pPr>
        <w:pStyle w:val="InfoEuropeana"/>
        <w:spacing w:before="0"/>
        <w:ind w:right="57"/>
      </w:pPr>
      <w:bookmarkStart w:id="116" w:name="_Toc89334218"/>
      <w:r>
        <w:t>COmunicate de presă ale Guvernului României</w:t>
      </w:r>
      <w:bookmarkEnd w:id="116"/>
    </w:p>
    <w:p w14:paraId="77612432" w14:textId="028A8514" w:rsidR="002E2472" w:rsidRPr="00463032" w:rsidRDefault="002E2472" w:rsidP="00463032">
      <w:pPr>
        <w:pStyle w:val="TitluArticolinINFOUE"/>
        <w:rPr>
          <w:lang w:eastAsia="ro-RO"/>
        </w:rPr>
      </w:pPr>
      <w:bookmarkStart w:id="117" w:name="_Toc89334219"/>
      <w:r w:rsidRPr="00463032">
        <w:t>Guvernul se alătură campaniei internaționale pentru eliminarea violenței împotriva femeilor</w:t>
      </w:r>
      <w:bookmarkEnd w:id="117"/>
    </w:p>
    <w:p w14:paraId="13FBABEE" w14:textId="17200F48" w:rsidR="002E247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noProof/>
          <w:sz w:val="18"/>
          <w:szCs w:val="18"/>
          <w:lang w:val="ro-RO" w:eastAsia="ro-RO"/>
        </w:rPr>
        <w:drawing>
          <wp:anchor distT="0" distB="0" distL="114300" distR="114300" simplePos="0" relativeHeight="252017664" behindDoc="0" locked="0" layoutInCell="1" allowOverlap="1" wp14:anchorId="36D55416" wp14:editId="24D84F6F">
            <wp:simplePos x="0" y="0"/>
            <wp:positionH relativeFrom="column">
              <wp:posOffset>-35560</wp:posOffset>
            </wp:positionH>
            <wp:positionV relativeFrom="paragraph">
              <wp:posOffset>130175</wp:posOffset>
            </wp:positionV>
            <wp:extent cx="1628775" cy="1628775"/>
            <wp:effectExtent l="0" t="0" r="9525" b="9525"/>
            <wp:wrapSquare wrapText="bothSides"/>
            <wp:docPr id="14" name="Picture 14" descr="https://gov.ro/fisiere/comunicate/d_original_9099199b-5b56-40dd-a796-be0995441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v.ro/fisiere/comunicate/d_original_9099199b-5b56-40dd-a796-be09954416b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472" w:rsidRPr="00463032">
        <w:rPr>
          <w:rFonts w:ascii="Verdana" w:hAnsi="Verdana"/>
          <w:sz w:val="18"/>
          <w:szCs w:val="18"/>
        </w:rPr>
        <w:t xml:space="preserve">Palatul Victoria </w:t>
      </w:r>
      <w:proofErr w:type="gramStart"/>
      <w:r w:rsidR="002E2472" w:rsidRPr="00463032">
        <w:rPr>
          <w:rFonts w:ascii="Verdana" w:hAnsi="Verdana"/>
          <w:sz w:val="18"/>
          <w:szCs w:val="18"/>
        </w:rPr>
        <w:t>va</w:t>
      </w:r>
      <w:proofErr w:type="gramEnd"/>
      <w:r w:rsidR="002E2472" w:rsidRPr="00463032">
        <w:rPr>
          <w:rFonts w:ascii="Verdana" w:hAnsi="Verdana"/>
          <w:sz w:val="18"/>
          <w:szCs w:val="18"/>
        </w:rPr>
        <w:t xml:space="preserve"> fi iluminat în această seară, în culoarea portocaliu, culoare dedicată, la nivelul Organizației Națiunilor Unite, luptei împotriva violenței asupra femeilor.</w:t>
      </w:r>
    </w:p>
    <w:p w14:paraId="38FF7632" w14:textId="372E6273"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Guvernul României marchează astfel Ziua Internațională pentru Eliminarea Violenței împotriva Femeilor și, implicit, prima zi a Campaniei Internaționale pentru Eliminarea Violenței împotriva Femeilor și Fetelor, care se va desfășura, ca în fiecare an, până pe 10 decembrie, proclamată de Adunarea Generală a ONU Ziua Internațională a Drepturilor Omului.</w:t>
      </w:r>
    </w:p>
    <w:p w14:paraId="3B662080" w14:textId="2595FD58"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Evenimentele organizate cu acest prilej la nivel național, prin Agenția Națională pentru Egalitatea de Șanse între Femei și Bărbați, se alătură eforturilor internaționale de conștientizare asupra nocivității violenței </w:t>
      </w:r>
      <w:r w:rsidRPr="00463032">
        <w:rPr>
          <w:rFonts w:ascii="Verdana" w:hAnsi="Verdana"/>
          <w:sz w:val="18"/>
          <w:szCs w:val="18"/>
        </w:rPr>
        <w:lastRenderedPageBreak/>
        <w:t>împotriva femeilor, un fenomen care nu poate fi tolerat, dar din păcate există încă în toate țările și la toate nivelurile societății.</w:t>
      </w:r>
    </w:p>
    <w:p w14:paraId="57F99B27"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Răspunderea pentru eliminarea oricăror comportamente abuzive asupra femeilor începe din familie, dar rolul societății și al structurilor instituționale </w:t>
      </w:r>
      <w:proofErr w:type="gramStart"/>
      <w:r w:rsidRPr="00463032">
        <w:rPr>
          <w:rFonts w:ascii="Verdana" w:hAnsi="Verdana"/>
          <w:sz w:val="18"/>
          <w:szCs w:val="18"/>
        </w:rPr>
        <w:t>este</w:t>
      </w:r>
      <w:proofErr w:type="gramEnd"/>
      <w:r w:rsidRPr="00463032">
        <w:rPr>
          <w:rFonts w:ascii="Verdana" w:hAnsi="Verdana"/>
          <w:sz w:val="18"/>
          <w:szCs w:val="18"/>
        </w:rPr>
        <w:t xml:space="preserve"> determinant pentru a descuraja violențele împotriva femeilor și a veni în sprijinul victimelor. Nimic nu poate justifica agresivitatea față de ceilalți, care nu are nicio legătură cu societatea evoluată în care toți ne dorim </w:t>
      </w:r>
      <w:proofErr w:type="gramStart"/>
      <w:r w:rsidRPr="00463032">
        <w:rPr>
          <w:rFonts w:ascii="Verdana" w:hAnsi="Verdana"/>
          <w:sz w:val="18"/>
          <w:szCs w:val="18"/>
        </w:rPr>
        <w:t>să</w:t>
      </w:r>
      <w:proofErr w:type="gramEnd"/>
      <w:r w:rsidRPr="00463032">
        <w:rPr>
          <w:rFonts w:ascii="Verdana" w:hAnsi="Verdana"/>
          <w:sz w:val="18"/>
          <w:szCs w:val="18"/>
        </w:rPr>
        <w:t xml:space="preserve"> trăim. Este nevoie de timp pentru a vindeca tare venite din trecut, dar unindu-ne forțele în astfel de campanii de conștientizare și luptă împotriva violenței asupra femeilor, prin programe educaționale și prin pârghii instituționale eficiente, întindem o mână de ajutor victimelor și putem preveni în viitor răspândirea acestui fenomen nociv pentru întreaga societate.</w:t>
      </w:r>
    </w:p>
    <w:p w14:paraId="5D3E5EDC" w14:textId="4920A326" w:rsidR="002E2472" w:rsidRPr="00463032" w:rsidRDefault="002E2472" w:rsidP="00463032">
      <w:pPr>
        <w:pStyle w:val="separatorarticole"/>
      </w:pPr>
      <w:r w:rsidRPr="00463032">
        <w:t>*</w:t>
      </w:r>
    </w:p>
    <w:p w14:paraId="014426EE" w14:textId="77777777" w:rsidR="002E2472" w:rsidRPr="00463032" w:rsidRDefault="002E2472" w:rsidP="00463032">
      <w:pPr>
        <w:pStyle w:val="TitluArticolinINFOUE"/>
        <w:rPr>
          <w:lang w:eastAsia="ro-RO"/>
        </w:rPr>
      </w:pPr>
      <w:bookmarkStart w:id="118" w:name="_Toc89334220"/>
      <w:r w:rsidRPr="00463032">
        <w:t>Măsuri de reorganizare a Guvernului și ministerelor</w:t>
      </w:r>
      <w:bookmarkEnd w:id="118"/>
    </w:p>
    <w:p w14:paraId="5217DF3E"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În prima ședință a Cabinetului Nicolae-Ionel Ciucă a fost adoptată o ordonanță de urgență privind stabilirea unor măsuri la nivelul administrației publice centrale, act normativ care aduce o serie de modificări în structura Executivului, în conformitate cu Hotărârea Parlamentului României de acordare </w:t>
      </w:r>
      <w:proofErr w:type="gramStart"/>
      <w:r w:rsidRPr="00463032">
        <w:rPr>
          <w:rFonts w:ascii="Verdana" w:hAnsi="Verdana"/>
          <w:sz w:val="18"/>
          <w:szCs w:val="18"/>
        </w:rPr>
        <w:t>a</w:t>
      </w:r>
      <w:proofErr w:type="gramEnd"/>
      <w:r w:rsidRPr="00463032">
        <w:rPr>
          <w:rFonts w:ascii="Verdana" w:hAnsi="Verdana"/>
          <w:sz w:val="18"/>
          <w:szCs w:val="18"/>
        </w:rPr>
        <w:t xml:space="preserve"> încrederii Guvernului.</w:t>
      </w:r>
    </w:p>
    <w:p w14:paraId="78DC3D6D"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Conform actului normativ, atribuțiile viceprim-miniștrilor se stabilesc prin decizie a prim-ministrului.</w:t>
      </w:r>
    </w:p>
    <w:p w14:paraId="342D7656"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Ministerul Economiei, Antreprenoriatului și Turismului se reorganizează prin divizare parțială, partea corespunzătoare activităților și personalului din domeniul antreprenoriatului, IMM-urilor, investițiilor străine, mediului de afaceri, turismului și comerțului exterior se transmite </w:t>
      </w:r>
      <w:r w:rsidRPr="00463032">
        <w:rPr>
          <w:rStyle w:val="Strong"/>
          <w:bdr w:val="none" w:sz="0" w:space="0" w:color="auto" w:frame="1"/>
        </w:rPr>
        <w:t>Ministerului Antreprenoriatului și Turismului</w:t>
      </w:r>
      <w:r w:rsidRPr="00463032">
        <w:rPr>
          <w:rFonts w:ascii="Verdana" w:hAnsi="Verdana"/>
          <w:sz w:val="18"/>
          <w:szCs w:val="18"/>
        </w:rPr>
        <w:t xml:space="preserve">, care se înființează. Tot Ministerul Antreprenoriatului și Turismului </w:t>
      </w:r>
      <w:proofErr w:type="gramStart"/>
      <w:r w:rsidRPr="00463032">
        <w:rPr>
          <w:rFonts w:ascii="Verdana" w:hAnsi="Verdana"/>
          <w:sz w:val="18"/>
          <w:szCs w:val="18"/>
        </w:rPr>
        <w:t>va</w:t>
      </w:r>
      <w:proofErr w:type="gramEnd"/>
      <w:r w:rsidRPr="00463032">
        <w:rPr>
          <w:rFonts w:ascii="Verdana" w:hAnsi="Verdana"/>
          <w:sz w:val="18"/>
          <w:szCs w:val="18"/>
        </w:rPr>
        <w:t xml:space="preserve"> gestiona și schema de ajutor de stat privind sprijinirea industriei cinematografice, constituită conform Hotărârii Guvernului nr. 421/2018, și, totodată, </w:t>
      </w:r>
      <w:proofErr w:type="gramStart"/>
      <w:r w:rsidRPr="00463032">
        <w:rPr>
          <w:rFonts w:ascii="Verdana" w:hAnsi="Verdana"/>
          <w:sz w:val="18"/>
          <w:szCs w:val="18"/>
        </w:rPr>
        <w:t>va</w:t>
      </w:r>
      <w:proofErr w:type="gramEnd"/>
      <w:r w:rsidRPr="00463032">
        <w:rPr>
          <w:rFonts w:ascii="Verdana" w:hAnsi="Verdana"/>
          <w:sz w:val="18"/>
          <w:szCs w:val="18"/>
        </w:rPr>
        <w:t xml:space="preserve"> asigura resursele financiare necesare conservării și pazei activelor realizate de România pentru Combinatul Minier de Îmbogățire a Minereurilor Acide cu conținut de fier de la Krivoi Rog – Ucraina.</w:t>
      </w:r>
    </w:p>
    <w:p w14:paraId="4F217EE8"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Ca urmare a reorganizării prin divizare parțială, Ministerul Economiei, Antreprenoriatului și Turismului își schimbă denumirea în </w:t>
      </w:r>
      <w:r w:rsidRPr="00463032">
        <w:rPr>
          <w:rStyle w:val="Strong"/>
          <w:bdr w:val="none" w:sz="0" w:space="0" w:color="auto" w:frame="1"/>
        </w:rPr>
        <w:t>Ministerul Economiei.</w:t>
      </w:r>
    </w:p>
    <w:p w14:paraId="530E76ED"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Style w:val="Strong"/>
          <w:bdr w:val="none" w:sz="0" w:space="0" w:color="auto" w:frame="1"/>
        </w:rPr>
        <w:t>Ministerul Familiei, Tineretului și Egalității de Șanse</w:t>
      </w:r>
      <w:r w:rsidRPr="00463032">
        <w:rPr>
          <w:rFonts w:ascii="Verdana" w:hAnsi="Verdana"/>
          <w:sz w:val="18"/>
          <w:szCs w:val="18"/>
        </w:rPr>
        <w:t> se înființează prin preluarea unor părți din Ministerul Muncii și Protecției Sociale, corespunzătoare domeniului familiei și egalității de șanse, și prin preluarea părții aferente tineretului de la Ministerul Tineretului și Sportului. Ca urmare a divizării, Ministerul Muncii și Protecției Sociale își schimbă denumirea în </w:t>
      </w:r>
      <w:r w:rsidRPr="00463032">
        <w:rPr>
          <w:rStyle w:val="Strong"/>
          <w:bdr w:val="none" w:sz="0" w:space="0" w:color="auto" w:frame="1"/>
        </w:rPr>
        <w:t>Ministerul Muncii și Solidarității Sociale</w:t>
      </w:r>
      <w:r w:rsidRPr="00463032">
        <w:rPr>
          <w:rFonts w:ascii="Verdana" w:hAnsi="Verdana"/>
          <w:sz w:val="18"/>
          <w:szCs w:val="18"/>
        </w:rPr>
        <w:t>, iar Ministerul Tineretului și Sportului își schimbă denumirea în </w:t>
      </w:r>
      <w:r w:rsidRPr="00463032">
        <w:rPr>
          <w:rStyle w:val="Strong"/>
          <w:bdr w:val="none" w:sz="0" w:space="0" w:color="auto" w:frame="1"/>
        </w:rPr>
        <w:t>Ministerul Sportului.</w:t>
      </w:r>
    </w:p>
    <w:p w14:paraId="6CF54A78"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De asemenea, se reorganizează Autoritatea Națională pentru Drepturile Persoanelor cu Dizabilități, Copii și Adopții, prin divizare parțială, prin desprinderea activităților și personalului din domeniul protecției și promovării persoanelor cu dizabilități și transmiterea către </w:t>
      </w:r>
      <w:r w:rsidRPr="00463032">
        <w:rPr>
          <w:rStyle w:val="Strong"/>
          <w:bdr w:val="none" w:sz="0" w:space="0" w:color="auto" w:frame="1"/>
        </w:rPr>
        <w:t>Autoritatea pentru Protecția Persoanelor cu Dizabilități,</w:t>
      </w:r>
      <w:r w:rsidRPr="00463032">
        <w:rPr>
          <w:rFonts w:ascii="Verdana" w:hAnsi="Verdana"/>
          <w:sz w:val="18"/>
          <w:szCs w:val="18"/>
        </w:rPr>
        <w:t> care se înființează ca organ de specialitate al administrației publice centrale, în subordinea Ministerului Muncii și Solidarității Sociale. Organizarea şi funcționarea Autorității pentru Protecția Persoanelor cu Dizabilități se stabilesc prin hotărâre a Guvernului.</w:t>
      </w:r>
    </w:p>
    <w:p w14:paraId="1936DEC6"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Ca urmare a divizării parțiale, Autoritatea Națională pentru Drepturile Persoanelor cu Dizabilități, Copii și Adopții își schimbă denumirea în </w:t>
      </w:r>
      <w:r w:rsidRPr="00463032">
        <w:rPr>
          <w:rStyle w:val="Strong"/>
          <w:bdr w:val="none" w:sz="0" w:space="0" w:color="auto" w:frame="1"/>
        </w:rPr>
        <w:t>Autoritatea pentru Protecția Drepturilor Copilului și Adopției</w:t>
      </w:r>
      <w:r w:rsidRPr="00463032">
        <w:rPr>
          <w:rFonts w:ascii="Verdana" w:hAnsi="Verdana"/>
          <w:sz w:val="18"/>
          <w:szCs w:val="18"/>
        </w:rPr>
        <w:t>, organ de specialitate al administrației publice centrale care trece în subordinea Ministerului Familiei, Tineretului și Egalității de Șanse, cu păstrarea activității, personalului și patrimoniului aferente programelor din domeniul protecției copilului și adopției.</w:t>
      </w:r>
    </w:p>
    <w:p w14:paraId="690D0B19"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Totodată, Agenția Națională pentru Egalitate de Șanse între Femei și Bărbați trece din subordinea Ministerul Muncii și Protecției Sociale, în subordinea Ministerului Familiei, Tineretului și Egalității de Șanse.</w:t>
      </w:r>
    </w:p>
    <w:p w14:paraId="346FAEA0" w14:textId="7C24A2DD"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O altă modificare vizează Administrația Națională a Rezervelor de Stat și Probleme Speciale, aflată în subordinea Guvernului și în coordonarea Secretariatului General al Guvernului, care se reorganizează prin divizare parțială prin desprinderea unei părți din patrimoniu corespunzătoare activității și personalului din Direcția Controlul Armamentelor și Verificare și transmiterea acestei părți către Ministerul Apărării Naționale. Direcția Controlul Armamentelor și Verificare se reorganizează potrivit </w:t>
      </w:r>
      <w:r w:rsidRPr="00463032">
        <w:rPr>
          <w:rFonts w:ascii="Verdana" w:hAnsi="Verdana"/>
          <w:sz w:val="18"/>
          <w:szCs w:val="18"/>
        </w:rPr>
        <w:lastRenderedPageBreak/>
        <w:t>normelor specifice Ministerului Apărării Naționale, ca structură fără personalitate juridică, cu aceleași atribuții.</w:t>
      </w:r>
    </w:p>
    <w:p w14:paraId="3B8B0339" w14:textId="202BA8DE"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În cadrul aparatului de lucru al Guvernului se înființează </w:t>
      </w:r>
      <w:r w:rsidRPr="00463032">
        <w:rPr>
          <w:rStyle w:val="Strong"/>
          <w:bdr w:val="none" w:sz="0" w:space="0" w:color="auto" w:frame="1"/>
        </w:rPr>
        <w:t>Cancelaria Prim-Ministrului</w:t>
      </w:r>
      <w:r w:rsidRPr="00463032">
        <w:rPr>
          <w:rFonts w:ascii="Verdana" w:hAnsi="Verdana"/>
          <w:sz w:val="18"/>
          <w:szCs w:val="18"/>
        </w:rPr>
        <w:t xml:space="preserve">, structură cu personalitate juridică, în subordinea prim-ministrului, prin preluarea activității, posturilor și personalului Cancelariei Prim-Ministrului, structură fără personalitate juridică în subordinea prim-ministrului, care se desființează. Cancelaria Prim-Ministrului </w:t>
      </w:r>
      <w:proofErr w:type="gramStart"/>
      <w:r w:rsidRPr="00463032">
        <w:rPr>
          <w:rFonts w:ascii="Verdana" w:hAnsi="Verdana"/>
          <w:sz w:val="18"/>
          <w:szCs w:val="18"/>
        </w:rPr>
        <w:t>este</w:t>
      </w:r>
      <w:proofErr w:type="gramEnd"/>
      <w:r w:rsidRPr="00463032">
        <w:rPr>
          <w:rFonts w:ascii="Verdana" w:hAnsi="Verdana"/>
          <w:sz w:val="18"/>
          <w:szCs w:val="18"/>
        </w:rPr>
        <w:t xml:space="preserve"> condusă de șeful Cancelariei Prim-Ministrului, cu rang de ministru, numit și eliberat prin decizie a prim-ministrului. Șeful Cancelariei Prim-Ministrului are calitatea de ordonator de credite.</w:t>
      </w:r>
    </w:p>
    <w:p w14:paraId="5F07660A" w14:textId="571DF75C"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Actul normativ desemnează Secretariatul General al Guvernului ca instituție responsabilă la nivel național pentru coordonarea gestionării contribuției financiare acordate României din rezerva de ajustare la Brexit.</w:t>
      </w:r>
    </w:p>
    <w:p w14:paraId="39E280A6" w14:textId="3D927896"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Totodată, se instituie o derogare de la</w:t>
      </w:r>
      <w:proofErr w:type="gramStart"/>
      <w:r w:rsidRPr="00463032">
        <w:rPr>
          <w:rFonts w:ascii="Verdana" w:hAnsi="Verdana"/>
          <w:sz w:val="18"/>
          <w:szCs w:val="18"/>
        </w:rPr>
        <w:t>  dispoziţiile</w:t>
      </w:r>
      <w:proofErr w:type="gramEnd"/>
      <w:r w:rsidRPr="00463032">
        <w:rPr>
          <w:rFonts w:ascii="Verdana" w:hAnsi="Verdana"/>
          <w:sz w:val="18"/>
          <w:szCs w:val="18"/>
        </w:rPr>
        <w:t xml:space="preserve"> art. 27 alin. (3) </w:t>
      </w:r>
      <w:proofErr w:type="gramStart"/>
      <w:r w:rsidRPr="00463032">
        <w:rPr>
          <w:rFonts w:ascii="Verdana" w:hAnsi="Verdana"/>
          <w:sz w:val="18"/>
          <w:szCs w:val="18"/>
        </w:rPr>
        <w:t>din</w:t>
      </w:r>
      <w:proofErr w:type="gramEnd"/>
      <w:r w:rsidRPr="00463032">
        <w:rPr>
          <w:rFonts w:ascii="Verdana" w:hAnsi="Verdana"/>
          <w:sz w:val="18"/>
          <w:szCs w:val="18"/>
        </w:rPr>
        <w:t xml:space="preserve"> Legea nr. 55/2020 privind unele măsuri pentru prevenirea şi combaterea efectelor pandemiei de COVID-19, cu modificările şi completările ulterioare, respectiv pentru posturile şi funcţiile vacante şi temporar vacante, altele decât cele prevăzute la art. II din Legea nr. 203/2020 pentru modificarea şi completarea Legii nr. 55/2020 privind unele măsuri pentru prevenirea şi combaterea efectelor pandemiei de COVID-19, pot fi organizate şi desfăşurate concursuri în condiţiile legii, până la data de 1 iunie 2022, cu încadrarea în creditele de angajament şi creditele bugetare aprobate în bugetul pentru anul 2022.</w:t>
      </w:r>
    </w:p>
    <w:p w14:paraId="416E332D" w14:textId="77777777" w:rsidR="002E2472" w:rsidRPr="00463032" w:rsidRDefault="002E247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Ministerele nou-înființate și instituțiile care preiau activități și structuri de la alte ministere preiau și personalul aferent acestora, în condițiile legii. Personalul preluat își păstrează drepturile salariale avute la intrarea în vigoare a prezentei ordonanțe de urgență.</w:t>
      </w:r>
    </w:p>
    <w:p w14:paraId="00A806FC" w14:textId="4313CCFD" w:rsidR="002E2472" w:rsidRPr="00463032" w:rsidRDefault="002E2472" w:rsidP="00463032">
      <w:pPr>
        <w:pStyle w:val="separatorarticole"/>
      </w:pPr>
      <w:r w:rsidRPr="00463032">
        <w:t>*</w:t>
      </w:r>
    </w:p>
    <w:p w14:paraId="3B2824D5" w14:textId="7B91B4FF" w:rsidR="002E2472" w:rsidRPr="00463032" w:rsidRDefault="002E2472" w:rsidP="00463032">
      <w:pPr>
        <w:pStyle w:val="TitluArticolinINFOUE"/>
        <w:rPr>
          <w:lang w:eastAsia="ro-RO"/>
        </w:rPr>
      </w:pPr>
      <w:bookmarkStart w:id="119" w:name="_Toc89334221"/>
      <w:r w:rsidRPr="00463032">
        <w:t>Plata drepturilor salariale în educație și sănătate, pensiilor și a ajutoarelor sociale în luna decembrie, asigurată prin rectificare bugetară</w:t>
      </w:r>
      <w:bookmarkEnd w:id="119"/>
    </w:p>
    <w:p w14:paraId="3FA6EF5C" w14:textId="7A188AB8"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Guvernul a aprobat în ședința de astăzi, prin Ordonanțe de Urgență, cea de-a doua rectificare a bugetului de stat și a bugetului asigurărilor sociale de stat pe anul 2021, corelând astfel planificarea bugetară cu evoluția prognozată a indicatorilor macroeconomici și execuția bugetară pe primele 9 luni ale anului în curs și fără a pune în pericol deficitul bugetar. </w:t>
      </w:r>
    </w:p>
    <w:p w14:paraId="02397A3C"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Astfel, veniturile bugetului general consolidat se majorează, pe sold, cu 5</w:t>
      </w:r>
      <w:proofErr w:type="gramStart"/>
      <w:r w:rsidRPr="00463032">
        <w:rPr>
          <w:rFonts w:ascii="Verdana" w:hAnsi="Verdana"/>
          <w:sz w:val="18"/>
          <w:szCs w:val="18"/>
        </w:rPr>
        <w:t>,1</w:t>
      </w:r>
      <w:proofErr w:type="gramEnd"/>
      <w:r w:rsidRPr="00463032">
        <w:rPr>
          <w:rFonts w:ascii="Verdana" w:hAnsi="Verdana"/>
          <w:sz w:val="18"/>
          <w:szCs w:val="18"/>
        </w:rPr>
        <w:t xml:space="preserve"> mld. </w:t>
      </w:r>
      <w:proofErr w:type="gramStart"/>
      <w:r w:rsidRPr="00463032">
        <w:rPr>
          <w:rFonts w:ascii="Verdana" w:hAnsi="Verdana"/>
          <w:sz w:val="18"/>
          <w:szCs w:val="18"/>
        </w:rPr>
        <w:t>lei</w:t>
      </w:r>
      <w:proofErr w:type="gramEnd"/>
      <w:r w:rsidRPr="00463032">
        <w:rPr>
          <w:rFonts w:ascii="Verdana" w:hAnsi="Verdana"/>
          <w:sz w:val="18"/>
          <w:szCs w:val="18"/>
        </w:rPr>
        <w:t xml:space="preserve">, iar cheltuielile bugetului consolidat se majorează, pe sold, cu 6,2 mld. </w:t>
      </w:r>
      <w:proofErr w:type="gramStart"/>
      <w:r w:rsidRPr="00463032">
        <w:rPr>
          <w:rFonts w:ascii="Verdana" w:hAnsi="Verdana"/>
          <w:sz w:val="18"/>
          <w:szCs w:val="18"/>
        </w:rPr>
        <w:t>lei</w:t>
      </w:r>
      <w:proofErr w:type="gramEnd"/>
      <w:r w:rsidRPr="00463032">
        <w:rPr>
          <w:rFonts w:ascii="Verdana" w:hAnsi="Verdana"/>
          <w:sz w:val="18"/>
          <w:szCs w:val="18"/>
        </w:rPr>
        <w:t>.</w:t>
      </w:r>
    </w:p>
    <w:p w14:paraId="72131328"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Ponderea deficitului bugetar pe 2021 se menține la 7</w:t>
      </w:r>
      <w:proofErr w:type="gramStart"/>
      <w:r w:rsidRPr="00463032">
        <w:rPr>
          <w:rFonts w:ascii="Verdana" w:hAnsi="Verdana"/>
          <w:sz w:val="18"/>
          <w:szCs w:val="18"/>
        </w:rPr>
        <w:t>,13</w:t>
      </w:r>
      <w:proofErr w:type="gramEnd"/>
      <w:r w:rsidRPr="00463032">
        <w:rPr>
          <w:rFonts w:ascii="Verdana" w:hAnsi="Verdana"/>
          <w:sz w:val="18"/>
          <w:szCs w:val="18"/>
        </w:rPr>
        <w:t xml:space="preserve">% din PIB, deși deficitul (cash) crește cu 1.105 mld. </w:t>
      </w:r>
      <w:proofErr w:type="gramStart"/>
      <w:r w:rsidRPr="00463032">
        <w:rPr>
          <w:rFonts w:ascii="Verdana" w:hAnsi="Verdana"/>
          <w:sz w:val="18"/>
          <w:szCs w:val="18"/>
        </w:rPr>
        <w:t>lei</w:t>
      </w:r>
      <w:proofErr w:type="gramEnd"/>
      <w:r w:rsidRPr="00463032">
        <w:rPr>
          <w:rFonts w:ascii="Verdana" w:hAnsi="Verdana"/>
          <w:sz w:val="18"/>
          <w:szCs w:val="18"/>
        </w:rPr>
        <w:t xml:space="preserve">, până la 84,9 mld. </w:t>
      </w:r>
      <w:proofErr w:type="gramStart"/>
      <w:r w:rsidRPr="00463032">
        <w:rPr>
          <w:rFonts w:ascii="Verdana" w:hAnsi="Verdana"/>
          <w:sz w:val="18"/>
          <w:szCs w:val="18"/>
        </w:rPr>
        <w:t>lei</w:t>
      </w:r>
      <w:proofErr w:type="gramEnd"/>
      <w:r w:rsidRPr="00463032">
        <w:rPr>
          <w:rFonts w:ascii="Verdana" w:hAnsi="Verdana"/>
          <w:sz w:val="18"/>
          <w:szCs w:val="18"/>
        </w:rPr>
        <w:t xml:space="preserve">, iar creșterea economică prevăzută la 7,0% ajunge la o valoare nominală a PIB de 1.190,3 mld. </w:t>
      </w:r>
      <w:proofErr w:type="gramStart"/>
      <w:r w:rsidRPr="00463032">
        <w:rPr>
          <w:rFonts w:ascii="Verdana" w:hAnsi="Verdana"/>
          <w:sz w:val="18"/>
          <w:szCs w:val="18"/>
        </w:rPr>
        <w:t>lei</w:t>
      </w:r>
      <w:proofErr w:type="gramEnd"/>
      <w:r w:rsidRPr="00463032">
        <w:rPr>
          <w:rFonts w:ascii="Verdana" w:hAnsi="Verdana"/>
          <w:sz w:val="18"/>
          <w:szCs w:val="18"/>
        </w:rPr>
        <w:t xml:space="preserve"> – așadar, prin această rectificare bugetară România își respectă angajamentele față de partenerii externi.</w:t>
      </w:r>
    </w:p>
    <w:p w14:paraId="60D2CAAF"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 xml:space="preserve">Prin această reconfigurare </w:t>
      </w:r>
      <w:proofErr w:type="gramStart"/>
      <w:r w:rsidRPr="00463032">
        <w:rPr>
          <w:rFonts w:ascii="Verdana" w:hAnsi="Verdana"/>
          <w:sz w:val="18"/>
          <w:szCs w:val="18"/>
        </w:rPr>
        <w:t>a</w:t>
      </w:r>
      <w:proofErr w:type="gramEnd"/>
      <w:r w:rsidRPr="00463032">
        <w:rPr>
          <w:rFonts w:ascii="Verdana" w:hAnsi="Verdana"/>
          <w:sz w:val="18"/>
          <w:szCs w:val="18"/>
        </w:rPr>
        <w:t xml:space="preserve"> alocărilor bugetare, Guvernul asigură fonduri pentru toate nevoile pe care le are Ministerul Sănătății, inclusiv pentru programe de sănătate finanțate din bugetul ministerului.</w:t>
      </w:r>
    </w:p>
    <w:p w14:paraId="11B694BD"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De asemenea, persoanele vulnerabile sunt o prioritate, iar pentru această categorie au fost prevăzute 2,2 miliarde lei pentru asigurarea drepturilor de natura asistenței sociale în vederea compensării aferente consumului de energie electrică și gaze, pentru plata indemnizațiilor acordate la întreruperea activității în contextul pandemiei și pentru plata alocațiilor de stat pentru copii, a drepturilor persoanelor cu handicap, a indemnizației de creștere a copilului și pentru plata integrală a pensiilor, indemnizațiilor și a ajutorului de încălzire.</w:t>
      </w:r>
    </w:p>
    <w:p w14:paraId="2474BF20"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Investițiile aflate în derulare vor fi continuate, prin rectificarea bugetară fiind asigurată finanțarea necesară finalizării acestor proiecte.</w:t>
      </w:r>
    </w:p>
    <w:p w14:paraId="2DD4E566"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151</w:t>
      </w:r>
      <w:proofErr w:type="gramStart"/>
      <w:r w:rsidRPr="00463032">
        <w:rPr>
          <w:rFonts w:ascii="Verdana" w:hAnsi="Verdana"/>
          <w:sz w:val="18"/>
          <w:szCs w:val="18"/>
        </w:rPr>
        <w:t>,8</w:t>
      </w:r>
      <w:proofErr w:type="gramEnd"/>
      <w:r w:rsidRPr="00463032">
        <w:rPr>
          <w:rFonts w:ascii="Verdana" w:hAnsi="Verdana"/>
          <w:sz w:val="18"/>
          <w:szCs w:val="18"/>
        </w:rPr>
        <w:t xml:space="preserve"> milioane lei au fost alocate suplimentar pentru plata despăgubirilor acordate crescătorilor de animale a căror activitate a fost afectată de apariția cazurilor de pestă porcină africană și a scrapiei.</w:t>
      </w:r>
    </w:p>
    <w:p w14:paraId="5B714B6D"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 xml:space="preserve">Prin adoptarea acestui act normativ, se creează premisele necesare îndeplinirii de către CEC Bank S.A. a cerințelor ce fac obiectul MREL (Regulamentul Delegat (UE) 2016/1450) și în conformitate cu reglementările Băncii Naționale a României (BNR), în calitate de autoritate de rezoluție (AR) care stabilește o cerință minimă de fonduri proprii şi datorii eligibile pentru fiecare instituție de credit (IC) aflată în responsabilitatea sa, la nivel individual și (sub) consolidat, în conformitate cu legislația </w:t>
      </w:r>
      <w:r w:rsidRPr="00463032">
        <w:rPr>
          <w:rFonts w:ascii="Verdana" w:hAnsi="Verdana"/>
          <w:sz w:val="18"/>
          <w:szCs w:val="18"/>
        </w:rPr>
        <w:lastRenderedPageBreak/>
        <w:t>națională (Legea nr. 312/2015 privind redresarea şi rezoluția instituțiilor de credit şi a firmelor de investiții, precum şi pentru modificarea şi completarea unor acte normative în domeniul financiar).</w:t>
      </w:r>
    </w:p>
    <w:p w14:paraId="2467787B"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Au fost suplimentate bugetele următoarelor instituții:</w:t>
      </w:r>
    </w:p>
    <w:p w14:paraId="3085BF08"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Finanțelor</w:t>
      </w:r>
      <w:r w:rsidRPr="00463032">
        <w:rPr>
          <w:rFonts w:ascii="Verdana" w:hAnsi="Verdana"/>
          <w:sz w:val="18"/>
          <w:szCs w:val="18"/>
        </w:rPr>
        <w:t xml:space="preserve">: + 3,7 mld. </w:t>
      </w:r>
      <w:proofErr w:type="gramStart"/>
      <w:r w:rsidRPr="00463032">
        <w:rPr>
          <w:rFonts w:ascii="Verdana" w:hAnsi="Verdana"/>
          <w:sz w:val="18"/>
          <w:szCs w:val="18"/>
        </w:rPr>
        <w:t>lei</w:t>
      </w:r>
      <w:proofErr w:type="gramEnd"/>
      <w:r w:rsidRPr="00463032">
        <w:rPr>
          <w:rFonts w:ascii="Verdana" w:hAnsi="Verdana"/>
          <w:sz w:val="18"/>
          <w:szCs w:val="18"/>
        </w:rPr>
        <w:t xml:space="preserve"> pentru acțiuni generale care țin de atribuțiile ministerului, plus o linie de finanțare în valoare de 1,4 mld. </w:t>
      </w:r>
      <w:proofErr w:type="gramStart"/>
      <w:r w:rsidRPr="00463032">
        <w:rPr>
          <w:rFonts w:ascii="Verdana" w:hAnsi="Verdana"/>
          <w:sz w:val="18"/>
          <w:szCs w:val="18"/>
        </w:rPr>
        <w:t>lei</w:t>
      </w:r>
      <w:proofErr w:type="gramEnd"/>
      <w:r w:rsidRPr="00463032">
        <w:rPr>
          <w:rFonts w:ascii="Verdana" w:hAnsi="Verdana"/>
          <w:sz w:val="18"/>
          <w:szCs w:val="18"/>
        </w:rPr>
        <w:t xml:space="preserve"> pentru continuarea procedurilor de recapitalizare a CEC Bank S.A. </w:t>
      </w:r>
    </w:p>
    <w:p w14:paraId="15FE602A"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Sănătății</w:t>
      </w:r>
      <w:r w:rsidRPr="00463032">
        <w:rPr>
          <w:rFonts w:ascii="Verdana" w:hAnsi="Verdana"/>
          <w:sz w:val="18"/>
          <w:szCs w:val="18"/>
        </w:rPr>
        <w:t>: +2,4 mld lei per sold, în principal pentru suplimentarea transferurilor pentru echilibrarea bugetului Fondului național unic de asigurări sociale de sănătate. O parte dintre banii alocați suplimentar vor asigura necesarul de finanțare până la sfârșitul anului pentru drepturile salariale ale personalului din sectorul sanitar și pentru programe de sănătate finanțate din bugetul ministerului.</w:t>
      </w:r>
    </w:p>
    <w:p w14:paraId="5ABBDEF5"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Muncii și Protecției Sociale</w:t>
      </w:r>
      <w:r w:rsidRPr="00463032">
        <w:rPr>
          <w:rFonts w:ascii="Verdana" w:hAnsi="Verdana"/>
          <w:sz w:val="18"/>
          <w:szCs w:val="18"/>
        </w:rPr>
        <w:t>: +2,2 mld. lei, în special pentru asigurarea drepturilor de natura asistenței sociale în vederea compensării facturilor la energie electrică și gaze, indemnizații acordate la întreruperea activității din cauza pandemiei, alocații de stat, alte drepturi de asistență socială, plata integrală a pensiilor și indemnizațiilor și a ajutoarelor de încălzire.</w:t>
      </w:r>
    </w:p>
    <w:p w14:paraId="74654394"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Justiției</w:t>
      </w:r>
      <w:r w:rsidRPr="00463032">
        <w:rPr>
          <w:rFonts w:ascii="Verdana" w:hAnsi="Verdana"/>
          <w:sz w:val="18"/>
          <w:szCs w:val="18"/>
        </w:rPr>
        <w:t>: + 823,9 milioane lei, per sold, pentru plata unor titluri executorii și debite restante stabilite prin hotărâri judecătorești.</w:t>
      </w:r>
    </w:p>
    <w:p w14:paraId="6BDE7827"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Public</w:t>
      </w:r>
      <w:r w:rsidRPr="00463032">
        <w:rPr>
          <w:rFonts w:ascii="Verdana" w:hAnsi="Verdana"/>
          <w:sz w:val="18"/>
          <w:szCs w:val="18"/>
        </w:rPr>
        <w:t>: +346,5 milioane lei, per sold, pentru plata titlurilor executorii, precum și pentru debite restante datorate personalului și dobânzile legale penalizatoare stabilite prin hotărâri judecătorești.</w:t>
      </w:r>
    </w:p>
    <w:p w14:paraId="50B465E1"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Dezvoltării, Lucrărilor Publice și Administrației</w:t>
      </w:r>
      <w:r w:rsidRPr="00463032">
        <w:rPr>
          <w:rFonts w:ascii="Verdana" w:hAnsi="Verdana"/>
          <w:sz w:val="18"/>
          <w:szCs w:val="18"/>
        </w:rPr>
        <w:t>: +157,3 milioane lei, per sold, pentru continuarea și finalizarea unor proiecte aflate în derulare.</w:t>
      </w:r>
    </w:p>
    <w:p w14:paraId="33B5505D"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Autoritatea Națională Sanitar-Veterinară și pentru Siguranța Alimentelor</w:t>
      </w:r>
      <w:r w:rsidRPr="00463032">
        <w:rPr>
          <w:rFonts w:ascii="Verdana" w:hAnsi="Verdana"/>
          <w:sz w:val="18"/>
          <w:szCs w:val="18"/>
        </w:rPr>
        <w:t>: +129,3 milioane lei, per sold: pentru despăgubirile acordate crescătorilor de animale a căror activitate a fost afectată de apariția cazurilor de pestă porcină africană și a scrapiei.</w:t>
      </w:r>
    </w:p>
    <w:p w14:paraId="4DD8E1A4"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Educației</w:t>
      </w:r>
      <w:r w:rsidRPr="00463032">
        <w:rPr>
          <w:rFonts w:ascii="Verdana" w:hAnsi="Verdana"/>
          <w:sz w:val="18"/>
          <w:szCs w:val="18"/>
        </w:rPr>
        <w:t>: +100 milioane lei, pentru cheltuieli de personal necesare ca urmare a preluării creșelor în sistemul de educație.</w:t>
      </w:r>
    </w:p>
    <w:p w14:paraId="145532F6"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Style w:val="Strong"/>
          <w:bdr w:val="none" w:sz="0" w:space="0" w:color="auto" w:frame="1"/>
        </w:rPr>
        <w:t>Ministerul Afacerilor Interne</w:t>
      </w:r>
      <w:r w:rsidRPr="00463032">
        <w:rPr>
          <w:rFonts w:ascii="Verdana" w:hAnsi="Verdana"/>
          <w:sz w:val="18"/>
          <w:szCs w:val="18"/>
        </w:rPr>
        <w:t>: + 44,9 milioane lei, per sold, pentru plata pensiilor militare de stat în luna decembrie 2021 și pentru achiziționarea de teste rapide antigen SARS-CoV-2 efectuate din proba de salivă, pentru unitățile de învățământ.</w:t>
      </w:r>
    </w:p>
    <w:p w14:paraId="2390CDCD" w14:textId="77777777" w:rsidR="002E2472" w:rsidRPr="00463032" w:rsidRDefault="002E2472" w:rsidP="008D4D12">
      <w:pPr>
        <w:pStyle w:val="NormalWeb"/>
        <w:spacing w:before="80" w:beforeAutospacing="0" w:after="0" w:afterAutospacing="0"/>
        <w:textAlignment w:val="baseline"/>
        <w:rPr>
          <w:rFonts w:ascii="Verdana" w:hAnsi="Verdana"/>
          <w:sz w:val="18"/>
          <w:szCs w:val="18"/>
        </w:rPr>
      </w:pPr>
      <w:r w:rsidRPr="00463032">
        <w:rPr>
          <w:rFonts w:ascii="Verdana" w:hAnsi="Verdana"/>
          <w:sz w:val="18"/>
          <w:szCs w:val="18"/>
        </w:rPr>
        <w:t>Au fost diminuate creditele bugetare pentru următoarele instituții: Ministerul Agriculturii și Dezvoltării Rurale (-2</w:t>
      </w:r>
      <w:proofErr w:type="gramStart"/>
      <w:r w:rsidRPr="00463032">
        <w:rPr>
          <w:rFonts w:ascii="Verdana" w:hAnsi="Verdana"/>
          <w:sz w:val="18"/>
          <w:szCs w:val="18"/>
        </w:rPr>
        <w:t>,3</w:t>
      </w:r>
      <w:proofErr w:type="gramEnd"/>
      <w:r w:rsidRPr="00463032">
        <w:rPr>
          <w:rFonts w:ascii="Verdana" w:hAnsi="Verdana"/>
          <w:sz w:val="18"/>
          <w:szCs w:val="18"/>
        </w:rPr>
        <w:t xml:space="preserve"> mld. lei), Ministerul Transporturilor și Infrastructurii (-757,3 milioane lei), Ministerul Economiei, Antreprenoriatului și Turismului (-156,4 milioane lei), Ministerul Energiei (-72,78 milioane lei), Secretariatul General al Guvernului (-44,4 milioane lei), Curtea de Conturi (-48,5 milioane lei) și Ministerul Culturii (-27,1 milioane lei).</w:t>
      </w:r>
    </w:p>
    <w:p w14:paraId="1097D64F" w14:textId="7AFE7B2B" w:rsidR="002E2472" w:rsidRPr="00463032" w:rsidRDefault="002E2472" w:rsidP="00463032">
      <w:pPr>
        <w:pStyle w:val="separatorarticole"/>
      </w:pPr>
      <w:r w:rsidRPr="00463032">
        <w:t>*</w:t>
      </w:r>
    </w:p>
    <w:p w14:paraId="076267FE" w14:textId="77777777" w:rsidR="002E2472" w:rsidRPr="00463032" w:rsidRDefault="002E2472" w:rsidP="00463032">
      <w:pPr>
        <w:pStyle w:val="TitluArticolinINFOUE"/>
        <w:rPr>
          <w:lang w:eastAsia="ro-RO"/>
        </w:rPr>
      </w:pPr>
      <w:bookmarkStart w:id="120" w:name="_Toc89334222"/>
      <w:r w:rsidRPr="00463032">
        <w:t>Mesajul premierului Nicolae-Ionel Ciucă cu prilejul Zilei Bucovinei</w:t>
      </w:r>
      <w:bookmarkEnd w:id="120"/>
    </w:p>
    <w:p w14:paraId="4F4D9F45" w14:textId="2AA154E6" w:rsidR="002E247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 </w:t>
      </w:r>
      <w:r w:rsidR="002E2472" w:rsidRPr="00463032">
        <w:rPr>
          <w:rFonts w:ascii="Verdana" w:hAnsi="Verdana"/>
          <w:sz w:val="18"/>
          <w:szCs w:val="18"/>
        </w:rPr>
        <w:t>“Marcăm astăzi 103 ani de la realipirea ținutului Bucovinei la România-Mamă, un act istoric care a precedat, în 1918, cu doar câteva zile, un alt moment de suflet pentru neamul românesc și cel mai important al istoriei noastre, Marea Unire.</w:t>
      </w:r>
      <w:r w:rsidR="002E2472" w:rsidRPr="00463032">
        <w:rPr>
          <w:rFonts w:ascii="Verdana" w:hAnsi="Verdana"/>
          <w:sz w:val="18"/>
          <w:szCs w:val="18"/>
        </w:rPr>
        <w:br/>
        <w:t xml:space="preserve">După aproape </w:t>
      </w:r>
      <w:proofErr w:type="gramStart"/>
      <w:r w:rsidR="002E2472" w:rsidRPr="00463032">
        <w:rPr>
          <w:rFonts w:ascii="Verdana" w:hAnsi="Verdana"/>
          <w:sz w:val="18"/>
          <w:szCs w:val="18"/>
        </w:rPr>
        <w:t>un</w:t>
      </w:r>
      <w:proofErr w:type="gramEnd"/>
      <w:r w:rsidR="002E2472" w:rsidRPr="00463032">
        <w:rPr>
          <w:rFonts w:ascii="Verdana" w:hAnsi="Verdana"/>
          <w:sz w:val="18"/>
          <w:szCs w:val="18"/>
        </w:rPr>
        <w:t xml:space="preserve"> secol și jumătate de ocupație străină, Bucovina redevenea, la 28 noiembrie 1918, parte integrantă a teritoriului românesc. Indiferent de contextul politic, au continuat </w:t>
      </w:r>
      <w:proofErr w:type="gramStart"/>
      <w:r w:rsidR="002E2472" w:rsidRPr="00463032">
        <w:rPr>
          <w:rFonts w:ascii="Verdana" w:hAnsi="Verdana"/>
          <w:sz w:val="18"/>
          <w:szCs w:val="18"/>
        </w:rPr>
        <w:t>să</w:t>
      </w:r>
      <w:proofErr w:type="gramEnd"/>
      <w:r w:rsidR="002E2472" w:rsidRPr="00463032">
        <w:rPr>
          <w:rFonts w:ascii="Verdana" w:hAnsi="Verdana"/>
          <w:sz w:val="18"/>
          <w:szCs w:val="18"/>
        </w:rPr>
        <w:t xml:space="preserve"> simtă și să gândească românește pe întreg ținutul bucovinean.</w:t>
      </w:r>
      <w:r w:rsidR="002E2472" w:rsidRPr="00463032">
        <w:rPr>
          <w:rFonts w:ascii="Verdana" w:hAnsi="Verdana"/>
          <w:sz w:val="18"/>
          <w:szCs w:val="18"/>
        </w:rPr>
        <w:br/>
        <w:t xml:space="preserve">Smulși fără voia lor din trupul Moldovei de puterile străine ale acelor vremuri, bucovinenii au continuat </w:t>
      </w:r>
      <w:proofErr w:type="gramStart"/>
      <w:r w:rsidR="002E2472" w:rsidRPr="00463032">
        <w:rPr>
          <w:rFonts w:ascii="Verdana" w:hAnsi="Verdana"/>
          <w:sz w:val="18"/>
          <w:szCs w:val="18"/>
        </w:rPr>
        <w:t>să</w:t>
      </w:r>
      <w:proofErr w:type="gramEnd"/>
      <w:r w:rsidR="002E2472" w:rsidRPr="00463032">
        <w:rPr>
          <w:rFonts w:ascii="Verdana" w:hAnsi="Verdana"/>
          <w:sz w:val="18"/>
          <w:szCs w:val="18"/>
        </w:rPr>
        <w:t xml:space="preserve"> creadă în destinul lor, de a reveni între vechile hotare, chiar dacă istoria i-a ținut departe de frații lor români. Perseverența oamenilor de cultură și a celor politici din acea perioadă, susținuți și de voința populară, reprezintă un exemplu din care consider că avem de învățat și astăzi, despre rădăcinile care ne unesc pe noi toți și care ne dau puterea de a depăși orice obstacol, oricât de insurmontabil poate să pară pentru unii.</w:t>
      </w:r>
      <w:r w:rsidR="002E2472" w:rsidRPr="00463032">
        <w:rPr>
          <w:rFonts w:ascii="Verdana" w:hAnsi="Verdana"/>
          <w:sz w:val="18"/>
          <w:szCs w:val="18"/>
        </w:rPr>
        <w:br/>
        <w:t xml:space="preserve">Frumusețea aparte a Bucovinei, tradițiile încă vii, valorile culturale și toată încărcătura istorică </w:t>
      </w:r>
      <w:proofErr w:type="gramStart"/>
      <w:r w:rsidR="002E2472" w:rsidRPr="00463032">
        <w:rPr>
          <w:rFonts w:ascii="Verdana" w:hAnsi="Verdana"/>
          <w:sz w:val="18"/>
          <w:szCs w:val="18"/>
        </w:rPr>
        <w:t>a</w:t>
      </w:r>
      <w:proofErr w:type="gramEnd"/>
      <w:r w:rsidR="002E2472" w:rsidRPr="00463032">
        <w:rPr>
          <w:rFonts w:ascii="Verdana" w:hAnsi="Verdana"/>
          <w:sz w:val="18"/>
          <w:szCs w:val="18"/>
        </w:rPr>
        <w:t xml:space="preserve"> acestor locuri ne încântă sufletul, fac parte din identitatea noastră ca români și ne reprezintă în fața întregii lumi. Avem o datorie sfântă </w:t>
      </w:r>
      <w:proofErr w:type="gramStart"/>
      <w:r w:rsidR="002E2472" w:rsidRPr="00463032">
        <w:rPr>
          <w:rFonts w:ascii="Verdana" w:hAnsi="Verdana"/>
          <w:sz w:val="18"/>
          <w:szCs w:val="18"/>
        </w:rPr>
        <w:t>să</w:t>
      </w:r>
      <w:proofErr w:type="gramEnd"/>
      <w:r w:rsidR="002E2472" w:rsidRPr="00463032">
        <w:rPr>
          <w:rFonts w:ascii="Verdana" w:hAnsi="Verdana"/>
          <w:sz w:val="18"/>
          <w:szCs w:val="18"/>
        </w:rPr>
        <w:t xml:space="preserve"> păstrăm intacte toate aceste valori, din respect față de strămoși și pentru a duce mai departe povestea acestui leagăn al Moldovei istorice.</w:t>
      </w:r>
      <w:r w:rsidR="002E2472" w:rsidRPr="00463032">
        <w:rPr>
          <w:rFonts w:ascii="Verdana" w:hAnsi="Verdana"/>
          <w:sz w:val="18"/>
          <w:szCs w:val="18"/>
        </w:rPr>
        <w:br/>
      </w:r>
      <w:r w:rsidR="002E2472" w:rsidRPr="00463032">
        <w:rPr>
          <w:rFonts w:ascii="Verdana" w:hAnsi="Verdana"/>
          <w:sz w:val="18"/>
          <w:szCs w:val="18"/>
        </w:rPr>
        <w:lastRenderedPageBreak/>
        <w:t xml:space="preserve">De Ziua Bucovinei, mesajul trebuie </w:t>
      </w:r>
      <w:proofErr w:type="gramStart"/>
      <w:r w:rsidR="002E2472" w:rsidRPr="00463032">
        <w:rPr>
          <w:rFonts w:ascii="Verdana" w:hAnsi="Verdana"/>
          <w:sz w:val="18"/>
          <w:szCs w:val="18"/>
        </w:rPr>
        <w:t>să</w:t>
      </w:r>
      <w:proofErr w:type="gramEnd"/>
      <w:r w:rsidR="002E2472" w:rsidRPr="00463032">
        <w:rPr>
          <w:rFonts w:ascii="Verdana" w:hAnsi="Verdana"/>
          <w:sz w:val="18"/>
          <w:szCs w:val="18"/>
        </w:rPr>
        <w:t xml:space="preserve"> fie unul de unitate. Contextul crizei sanitare ne obligă </w:t>
      </w:r>
      <w:proofErr w:type="gramStart"/>
      <w:r w:rsidR="002E2472" w:rsidRPr="00463032">
        <w:rPr>
          <w:rFonts w:ascii="Verdana" w:hAnsi="Verdana"/>
          <w:sz w:val="18"/>
          <w:szCs w:val="18"/>
        </w:rPr>
        <w:t>să</w:t>
      </w:r>
      <w:proofErr w:type="gramEnd"/>
      <w:r w:rsidR="002E2472" w:rsidRPr="00463032">
        <w:rPr>
          <w:rFonts w:ascii="Verdana" w:hAnsi="Verdana"/>
          <w:sz w:val="18"/>
          <w:szCs w:val="18"/>
        </w:rPr>
        <w:t xml:space="preserve"> luăm cele mai bune măsuri pentru a trece cu bine de această perioadă. Împreună putem reuși!”</w:t>
      </w:r>
    </w:p>
    <w:p w14:paraId="6FE3ECB6" w14:textId="674DA731" w:rsidR="002E2472" w:rsidRPr="008D4D12" w:rsidRDefault="002E2472" w:rsidP="00463032">
      <w:pPr>
        <w:pStyle w:val="NormalWeb"/>
        <w:spacing w:before="120" w:beforeAutospacing="0" w:after="0" w:afterAutospacing="0"/>
        <w:textAlignment w:val="baseline"/>
        <w:rPr>
          <w:rFonts w:ascii="Verdana" w:hAnsi="Verdana"/>
          <w:b/>
          <w:sz w:val="18"/>
          <w:szCs w:val="18"/>
        </w:rPr>
      </w:pPr>
      <w:r w:rsidRPr="008D4D12">
        <w:rPr>
          <w:rFonts w:ascii="Verdana" w:hAnsi="Verdana"/>
          <w:b/>
          <w:sz w:val="18"/>
          <w:szCs w:val="18"/>
        </w:rPr>
        <w:t>Nicolae-Ionel Ciucă</w:t>
      </w:r>
      <w:proofErr w:type="gramStart"/>
      <w:r w:rsidRPr="008D4D12">
        <w:rPr>
          <w:rFonts w:ascii="Verdana" w:hAnsi="Verdana"/>
          <w:b/>
          <w:sz w:val="18"/>
          <w:szCs w:val="18"/>
        </w:rPr>
        <w:t>,</w:t>
      </w:r>
      <w:proofErr w:type="gramEnd"/>
      <w:r w:rsidRPr="008D4D12">
        <w:rPr>
          <w:rFonts w:ascii="Verdana" w:hAnsi="Verdana"/>
          <w:b/>
          <w:sz w:val="18"/>
          <w:szCs w:val="18"/>
        </w:rPr>
        <w:br/>
        <w:t>Prim-ministru al României</w:t>
      </w:r>
    </w:p>
    <w:p w14:paraId="15FCE95F" w14:textId="7F59B3D1" w:rsidR="002E2472" w:rsidRPr="00463032" w:rsidRDefault="008D4D12" w:rsidP="008D4D12">
      <w:pPr>
        <w:pStyle w:val="separatorarticole"/>
        <w:rPr>
          <w:color w:val="auto"/>
        </w:rPr>
      </w:pPr>
      <w:r>
        <w:t>*</w:t>
      </w:r>
    </w:p>
    <w:p w14:paraId="0CB9C6CB" w14:textId="77777777" w:rsidR="00463032" w:rsidRPr="00463032" w:rsidRDefault="00463032" w:rsidP="008D4D12">
      <w:pPr>
        <w:pStyle w:val="TitluArticolinINFOUE"/>
        <w:rPr>
          <w:lang w:eastAsia="ro-RO"/>
        </w:rPr>
      </w:pPr>
      <w:bookmarkStart w:id="121" w:name="_Toc89334223"/>
      <w:r w:rsidRPr="00463032">
        <w:t>Vizita premierului Nicolae-Ionel Ciucă la două unități de producție din Frâncești și Băbeni, județul Vâlcea</w:t>
      </w:r>
      <w:bookmarkEnd w:id="121"/>
    </w:p>
    <w:p w14:paraId="40558A84"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Prim-ministrul Nicolae-Ionel Ciucă, împreună cu ministrul Agriculturii și Dezvoltării Rurale, Adrian-Ionuț Chesnoiu, au vizitat o fermă de creștere pui din localitatea Frâncești și o fabrică de nutrețuri combinate din localitatea Băbeni, județul Vâlcea. Grupul cu capital românesc 100%, din care fac parte cele două unități de producție moderne și tehnologizate, a investit peste 100 de milioane de euro după intrarea României în Uniunea Europeană.</w:t>
      </w:r>
      <w:r w:rsidRPr="00463032">
        <w:rPr>
          <w:rFonts w:ascii="Verdana" w:hAnsi="Verdana"/>
          <w:sz w:val="18"/>
          <w:szCs w:val="18"/>
        </w:rPr>
        <w:br/>
        <w:t>“</w:t>
      </w:r>
      <w:r w:rsidRPr="00463032">
        <w:rPr>
          <w:rStyle w:val="Emphasis"/>
          <w:bdr w:val="none" w:sz="0" w:space="0" w:color="auto" w:frame="1"/>
        </w:rPr>
        <w:t>Am discutat despre principalele provocări și probleme pe care le întâmpină fermierii, precum și despre modalitățile concrete de remediere a acestora. Am vrut să văd o companie care gestionează întregul lanț de producție a cărnii de pasăre, plecând de la cultivarea cerealelor, producția de furaje pentru asigurarea unei alimentații sănătoase și controlate a păsărilor, reproducție, creșterea puilor, abatorizare, tranșare, ambalare și distribuție la nivel național și internațional.</w:t>
      </w:r>
      <w:r w:rsidRPr="00463032">
        <w:rPr>
          <w:rFonts w:ascii="Verdana" w:hAnsi="Verdana"/>
          <w:i/>
          <w:iCs/>
          <w:sz w:val="18"/>
          <w:szCs w:val="18"/>
          <w:bdr w:val="none" w:sz="0" w:space="0" w:color="auto" w:frame="1"/>
        </w:rPr>
        <w:br/>
      </w:r>
      <w:r w:rsidRPr="00463032">
        <w:rPr>
          <w:rStyle w:val="Emphasis"/>
          <w:bdr w:val="none" w:sz="0" w:space="0" w:color="auto" w:frame="1"/>
        </w:rPr>
        <w:t>Fermierii români au nevoie de ajutor pentru ca atât legislația, cât și mecanismele de finanțare să le permită dezvoltarea afacerii, în beneficiul consumatorului român, precum și pentru a le deschide oportunitățile oferite de Piața Unică europeană.</w:t>
      </w:r>
      <w:r w:rsidRPr="00463032">
        <w:rPr>
          <w:rFonts w:ascii="Verdana" w:hAnsi="Verdana"/>
          <w:i/>
          <w:iCs/>
          <w:sz w:val="18"/>
          <w:szCs w:val="18"/>
          <w:bdr w:val="none" w:sz="0" w:space="0" w:color="auto" w:frame="1"/>
        </w:rPr>
        <w:br/>
      </w:r>
      <w:r w:rsidRPr="00463032">
        <w:rPr>
          <w:rStyle w:val="Emphasis"/>
          <w:bdr w:val="none" w:sz="0" w:space="0" w:color="auto" w:frame="1"/>
        </w:rPr>
        <w:t>Pentru a reuși acest lucru, avem nevoie de previziune și proiecte pe termen mediu și lung, coerență în procesul de planificare și o stabilire a priorităților. Am convenit cu ministrul Agriculturii să stabilim un mecanism de consultare permanentă cu structurile asociative reprezentative ale fermierilor și agricultorilor români, a căror voce trebuie să fie ascultată când luăm decizii care îi privesc</w:t>
      </w:r>
      <w:r w:rsidRPr="00463032">
        <w:rPr>
          <w:rFonts w:ascii="Verdana" w:hAnsi="Verdana"/>
          <w:sz w:val="18"/>
          <w:szCs w:val="18"/>
        </w:rPr>
        <w:t>", a precizat prim-ministrul Nicolae-Ionel Ciucă.</w:t>
      </w:r>
    </w:p>
    <w:p w14:paraId="65C6141D" w14:textId="53724597" w:rsidR="002E2472" w:rsidRPr="00463032" w:rsidRDefault="00463032" w:rsidP="008D4D12">
      <w:pPr>
        <w:pStyle w:val="separatorarticole"/>
      </w:pPr>
      <w:r w:rsidRPr="00463032">
        <w:t>*</w:t>
      </w:r>
    </w:p>
    <w:p w14:paraId="1E433178" w14:textId="77777777" w:rsidR="00463032" w:rsidRPr="00463032" w:rsidRDefault="00463032" w:rsidP="008D4D12">
      <w:pPr>
        <w:pStyle w:val="TitluArticolinINFOUE"/>
        <w:rPr>
          <w:lang w:eastAsia="ro-RO"/>
        </w:rPr>
      </w:pPr>
      <w:bookmarkStart w:id="122" w:name="_Toc89334224"/>
      <w:r w:rsidRPr="00463032">
        <w:t>Lotul 2 din Autostrada 10 Sebeș – Turda va fi deschis circulației de mâine</w:t>
      </w:r>
      <w:bookmarkEnd w:id="122"/>
    </w:p>
    <w:p w14:paraId="73426BFF"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Premierul Nicolae-Ionel Ciucă salută deschiderea circulației pe Lotul 2 al Autostrăzii 10 Sebeș–Turda, începând de mâine, și îi felicită pe toți cei implicați în finalizarea acestui proiect.</w:t>
      </w:r>
    </w:p>
    <w:p w14:paraId="56361264"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w:t>
      </w:r>
      <w:r w:rsidRPr="00463032">
        <w:rPr>
          <w:rStyle w:val="Emphasis"/>
          <w:bdr w:val="none" w:sz="0" w:space="0" w:color="auto" w:frame="1"/>
        </w:rPr>
        <w:t>Dezvoltarea infrastructurii de transport din România este un punct important în programul nostru de guvernare, pentru beneficiile pe termen lung pe care le va aduce țării noastre, atât prin facilitarea legăturilor între regiuni, cât și prin creșterea economică firească generată de viteza și calitatea acestor legături. De aceea, îi felicit pe toți cei implicați în finalizarea proiectului de față și le urez succes celor angajați în proiecte similare</w:t>
      </w:r>
      <w:r w:rsidRPr="00463032">
        <w:rPr>
          <w:rFonts w:ascii="Verdana" w:hAnsi="Verdana"/>
          <w:sz w:val="18"/>
          <w:szCs w:val="18"/>
        </w:rPr>
        <w:t>”, a declarat șeful Executivului.</w:t>
      </w:r>
    </w:p>
    <w:p w14:paraId="736C70CC"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Prim-ministrul a apreciat, în context, importanta susținere financiară la nivel guvernamental din ultimii doi ani, care a impulsionat lucrările pe Lotul 2 din Autostrada Sebeș – Turda și a dat asigurări privind determinarea guvernului de a sprijini finalizarea celorlalte loturi de autostradă aflate în lucru.</w:t>
      </w:r>
    </w:p>
    <w:p w14:paraId="22304696"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w:t>
      </w:r>
      <w:r w:rsidRPr="00463032">
        <w:rPr>
          <w:rStyle w:val="Emphasis"/>
          <w:bdr w:val="none" w:sz="0" w:space="0" w:color="auto" w:frame="1"/>
        </w:rPr>
        <w:t>Proiectele de infrastructură din România au trecut prin multe situații complicate, în ultimele decenii. Guvernul României va susține și va urmări îndeaproape implementarea fiecărui proiect de infrastructură la nivel național</w:t>
      </w:r>
      <w:r w:rsidRPr="00463032">
        <w:rPr>
          <w:rFonts w:ascii="Verdana" w:hAnsi="Verdana"/>
          <w:sz w:val="18"/>
          <w:szCs w:val="18"/>
        </w:rPr>
        <w:t> ”, a ținut să mai sublinieze premierul.</w:t>
      </w:r>
    </w:p>
    <w:p w14:paraId="3110A15D"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Autostrada 10 Sebeș – Turda face legătura între autostrăzile A1 (București-Nădlac, parte a</w:t>
      </w:r>
      <w:proofErr w:type="gramStart"/>
      <w:r w:rsidRPr="00463032">
        <w:rPr>
          <w:rFonts w:ascii="Verdana" w:hAnsi="Verdana"/>
          <w:sz w:val="18"/>
          <w:szCs w:val="18"/>
        </w:rPr>
        <w:t>  Coridorului</w:t>
      </w:r>
      <w:proofErr w:type="gramEnd"/>
      <w:r w:rsidRPr="00463032">
        <w:rPr>
          <w:rFonts w:ascii="Verdana" w:hAnsi="Verdana"/>
          <w:sz w:val="18"/>
          <w:szCs w:val="18"/>
        </w:rPr>
        <w:t xml:space="preserve"> IV paneuropean) și  A3 (numită și Autostrada Transilvania pe porțiunea Brașov-Borș), iar contractul pentru Lotul 2 a fost semnat în toamna anului 2014, cu Asocierea Aktor S.A.- S.C. Euroconstruct Trading SRL, având ca termen inițial de finalizare a proiectului cea de-a doua jumătate a anului 2016.</w:t>
      </w:r>
    </w:p>
    <w:p w14:paraId="660B4174" w14:textId="77777777" w:rsidR="00463032" w:rsidRPr="00463032" w:rsidRDefault="00463032" w:rsidP="00463032">
      <w:pPr>
        <w:pStyle w:val="NormalWeb"/>
        <w:spacing w:before="120" w:beforeAutospacing="0" w:after="0" w:afterAutospacing="0"/>
        <w:textAlignment w:val="baseline"/>
        <w:rPr>
          <w:rFonts w:ascii="Verdana" w:hAnsi="Verdana"/>
          <w:sz w:val="18"/>
          <w:szCs w:val="18"/>
        </w:rPr>
      </w:pPr>
      <w:r w:rsidRPr="00463032">
        <w:rPr>
          <w:rFonts w:ascii="Verdana" w:hAnsi="Verdana"/>
          <w:sz w:val="18"/>
          <w:szCs w:val="18"/>
        </w:rPr>
        <w:t xml:space="preserve">Lotul 2, între Alba Iulia Nord și Aiud, </w:t>
      </w:r>
      <w:proofErr w:type="gramStart"/>
      <w:r w:rsidRPr="00463032">
        <w:rPr>
          <w:rFonts w:ascii="Verdana" w:hAnsi="Verdana"/>
          <w:sz w:val="18"/>
          <w:szCs w:val="18"/>
        </w:rPr>
        <w:t>va</w:t>
      </w:r>
      <w:proofErr w:type="gramEnd"/>
      <w:r w:rsidRPr="00463032">
        <w:rPr>
          <w:rFonts w:ascii="Verdana" w:hAnsi="Verdana"/>
          <w:sz w:val="18"/>
          <w:szCs w:val="18"/>
        </w:rPr>
        <w:t xml:space="preserve"> fi deschis circulației mâine, 30 noiembrie 2021, cu anumite restricții de viteză. Pe tot lotul, viteza va fi limitata la 100 de km/h, iar în zona Dealului Oiejdea, unde se va circula pe o singură cale, pe câte o bandă de sens,  viteza va fi limitată la 60 de km/h, până în aprilie 2022 - termen asumat de constructor pentru încheierea tuturor lucrărilor.</w:t>
      </w:r>
    </w:p>
    <w:p w14:paraId="3CCA0DA4" w14:textId="3B975BDA" w:rsidR="002E2472" w:rsidRPr="002E2472" w:rsidRDefault="002E2472" w:rsidP="002E2472">
      <w:pPr>
        <w:pStyle w:val="Stilsursa"/>
      </w:pPr>
      <w:r>
        <w:t xml:space="preserve">Sursa: Guvernul României - </w:t>
      </w:r>
      <w:r w:rsidRPr="002E2472">
        <w:t>https://gov.ro/ro/media/comunicate</w:t>
      </w:r>
    </w:p>
    <w:p w14:paraId="393467A5" w14:textId="77777777" w:rsidR="00F56410" w:rsidRDefault="00F56410" w:rsidP="00F56410">
      <w:pPr>
        <w:pStyle w:val="separatorcapitole"/>
        <w:ind w:right="57"/>
      </w:pPr>
      <w:r w:rsidRPr="00F50627">
        <w:sym w:font="Wingdings" w:char="F07B"/>
      </w:r>
      <w:r w:rsidRPr="00F50627">
        <w:sym w:font="Wingdings" w:char="F07B"/>
      </w:r>
      <w:r w:rsidRPr="00F50627">
        <w:sym w:font="Wingdings" w:char="F07B"/>
      </w:r>
    </w:p>
    <w:p w14:paraId="6AD26531" w14:textId="70757965" w:rsidR="00FD2452" w:rsidRPr="00F50627" w:rsidRDefault="00FD2452" w:rsidP="00B96052">
      <w:pPr>
        <w:pStyle w:val="InfoEuropeana"/>
        <w:spacing w:before="0"/>
        <w:ind w:right="57"/>
      </w:pPr>
      <w:bookmarkStart w:id="123" w:name="_Toc89334225"/>
      <w:bookmarkEnd w:id="11"/>
      <w:bookmarkEnd w:id="12"/>
      <w:bookmarkEnd w:id="13"/>
      <w:bookmarkEnd w:id="14"/>
      <w:bookmarkEnd w:id="15"/>
      <w:bookmarkEnd w:id="16"/>
      <w:r w:rsidRPr="00F50627">
        <w:lastRenderedPageBreak/>
        <w:t>Informaţie 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6"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4" w:name="_Toc415050943"/>
      <w:r w:rsidRPr="00F50627">
        <w:sym w:font="Wingdings" w:char="F07B"/>
      </w:r>
      <w:r w:rsidRPr="00F50627">
        <w:sym w:font="Wingdings" w:char="F07B"/>
      </w:r>
      <w:r w:rsidRPr="00F50627">
        <w:sym w:font="Wingdings" w:char="F07B"/>
      </w:r>
    </w:p>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5" w:name="_Toc464051883"/>
      <w:bookmarkStart w:id="126" w:name="_Toc464117719"/>
      <w:bookmarkStart w:id="127" w:name="_Toc466963745"/>
      <w:bookmarkStart w:id="128" w:name="_Toc89334226"/>
      <w:bookmarkEnd w:id="124"/>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28"/>
    </w:p>
    <w:p w14:paraId="2226A965" w14:textId="77777777" w:rsidR="0017074A" w:rsidRPr="0017074A" w:rsidRDefault="0017074A" w:rsidP="0017074A">
      <w:pPr>
        <w:pStyle w:val="TitluArticolinINFOUE"/>
        <w:rPr>
          <w:lang w:eastAsia="ro-RO"/>
        </w:rPr>
      </w:pPr>
      <w:bookmarkStart w:id="129" w:name="_Toc89334227"/>
      <w:r w:rsidRPr="0017074A">
        <w:t>POIM: Termenul de depunere pentru apelul dedicat planurilor de management pentru ariile naturale protejate a fost prelungit</w:t>
      </w:r>
      <w:bookmarkEnd w:id="129"/>
    </w:p>
    <w:p w14:paraId="403D4D73"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Ministerul Investițiilor și Proiectelor Europene, în calitate de Autoritate de Management pentru Programul Operaţional Infrastructură Mare, a anunțat ieri, 25 noiembrie 2021, prelungirea termenului de depunere a propunerilor de proiecte în cadrul apelului POIM 710/4/1, adresat </w:t>
      </w:r>
      <w:r w:rsidRPr="0017074A">
        <w:rPr>
          <w:rStyle w:val="Strong"/>
          <w:color w:val="313131"/>
        </w:rPr>
        <w:t>solicitanților care doresc să obțină finanțare nerambursabilă pentru Implementarea planurilor de management / seturilor de măsuri de conservare/ planurilor de acțiune pentru ariile naturale protejate și pentru speciile de interes comunitar aprobate</w:t>
      </w:r>
      <w:r w:rsidRPr="0017074A">
        <w:rPr>
          <w:rFonts w:ascii="Verdana" w:hAnsi="Verdana"/>
          <w:color w:val="313131"/>
          <w:sz w:val="18"/>
          <w:szCs w:val="18"/>
        </w:rPr>
        <w:t>, Obiectivul Specific 4.1 „Creșterea gradului de protecție și conservare a biodiversității prin măsuri de management adecvate şi refacerea ecosistemelor degradate” din cadrul Programului Operațional Infrastructură Mare (POIM).</w:t>
      </w:r>
    </w:p>
    <w:p w14:paraId="0AD112BE"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Conform Ordinului nr. 1335/24.11.2021, termenul de depunere a fost prelungit până la data de </w:t>
      </w:r>
      <w:r w:rsidRPr="0017074A">
        <w:rPr>
          <w:rStyle w:val="Strong"/>
          <w:color w:val="313131"/>
        </w:rPr>
        <w:t>31 iulie 2022.</w:t>
      </w:r>
    </w:p>
    <w:p w14:paraId="11C8ADF6" w14:textId="77777777" w:rsidR="0017074A" w:rsidRPr="0017074A" w:rsidRDefault="0017074A" w:rsidP="0017074A">
      <w:pPr>
        <w:pStyle w:val="NormalWeb"/>
        <w:spacing w:before="120" w:beforeAutospacing="0" w:after="0" w:afterAutospacing="0"/>
        <w:rPr>
          <w:rFonts w:ascii="Verdana" w:hAnsi="Verdana"/>
          <w:color w:val="313131"/>
          <w:sz w:val="18"/>
          <w:szCs w:val="18"/>
        </w:rPr>
      </w:pPr>
      <w:hyperlink r:id="rId17" w:tgtFrame="_blank" w:history="1">
        <w:r w:rsidRPr="0017074A">
          <w:rPr>
            <w:rStyle w:val="Emphasis"/>
            <w:b/>
            <w:bCs/>
            <w:color w:val="0000FF"/>
            <w:u w:val="single"/>
          </w:rPr>
          <w:t>Descarcă</w:t>
        </w:r>
      </w:hyperlink>
      <w:r w:rsidRPr="0017074A">
        <w:rPr>
          <w:rFonts w:ascii="Verdana" w:hAnsi="Verdana"/>
          <w:color w:val="313131"/>
          <w:sz w:val="18"/>
          <w:szCs w:val="18"/>
        </w:rPr>
        <w:t> Ordinul</w:t>
      </w:r>
    </w:p>
    <w:p w14:paraId="5AC66CEA" w14:textId="77777777" w:rsidR="0017074A" w:rsidRPr="0017074A" w:rsidRDefault="0017074A" w:rsidP="0017074A">
      <w:pPr>
        <w:pStyle w:val="Stilsursa"/>
      </w:pPr>
      <w:r w:rsidRPr="0017074A">
        <w:t>Sursa: MIPE</w:t>
      </w:r>
    </w:p>
    <w:p w14:paraId="30E84F0E" w14:textId="094D2FD8" w:rsidR="0017074A" w:rsidRPr="0017074A" w:rsidRDefault="0017074A" w:rsidP="0017074A">
      <w:pPr>
        <w:pStyle w:val="separatorarticole"/>
      </w:pPr>
      <w:r w:rsidRPr="0017074A">
        <w:t>*</w:t>
      </w:r>
    </w:p>
    <w:p w14:paraId="4B4AAB58" w14:textId="77777777" w:rsidR="0017074A" w:rsidRPr="0017074A" w:rsidRDefault="0017074A" w:rsidP="0017074A">
      <w:pPr>
        <w:pStyle w:val="TitluArticolinINFOUE"/>
        <w:rPr>
          <w:lang w:eastAsia="ro-RO"/>
        </w:rPr>
      </w:pPr>
      <w:bookmarkStart w:id="130" w:name="_Toc89334228"/>
      <w:r w:rsidRPr="0017074A">
        <w:t>Norme revizuite privind ajutoarele de stat aplicabile proiectelor importante de interes european comun, adoptate de Comisia Europeană</w:t>
      </w:r>
      <w:bookmarkEnd w:id="130"/>
    </w:p>
    <w:p w14:paraId="0A9C35C6"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Comisia Europeană </w:t>
      </w:r>
      <w:proofErr w:type="gramStart"/>
      <w:r w:rsidRPr="0017074A">
        <w:rPr>
          <w:rFonts w:ascii="Verdana" w:hAnsi="Verdana"/>
          <w:color w:val="313131"/>
          <w:sz w:val="18"/>
          <w:szCs w:val="18"/>
        </w:rPr>
        <w:t>a</w:t>
      </w:r>
      <w:proofErr w:type="gramEnd"/>
      <w:r w:rsidRPr="0017074A">
        <w:rPr>
          <w:rFonts w:ascii="Verdana" w:hAnsi="Verdana"/>
          <w:color w:val="313131"/>
          <w:sz w:val="18"/>
          <w:szCs w:val="18"/>
        </w:rPr>
        <w:t xml:space="preserve"> adoptat ieri, 25 noiembrie 2021, o comunicare revizuită referitoare la normele privind ajutoarele de stat aplicabile proiectelor importante de interes european comun („</w:t>
      </w:r>
      <w:r w:rsidRPr="0017074A">
        <w:rPr>
          <w:rStyle w:val="Emphasis"/>
          <w:color w:val="313131"/>
        </w:rPr>
        <w:t>Comunicarea privind PIIEC</w:t>
      </w:r>
      <w:r w:rsidRPr="0017074A">
        <w:rPr>
          <w:rFonts w:ascii="Verdana" w:hAnsi="Verdana"/>
          <w:color w:val="313131"/>
          <w:sz w:val="18"/>
          <w:szCs w:val="18"/>
        </w:rPr>
        <w:t xml:space="preserve">”). Comunicarea privind PIIEC revizuită se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aplica de la 1 ianuarie 2022.</w:t>
      </w:r>
    </w:p>
    <w:p w14:paraId="25C7A880"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Aceasta stabilește criteriile pe baza cărora Comisia evaluează sprijinul acordat de statele membre pentru PIIEC transfrontaliere care surmontează disfuncționalitățile pieței și permit inovarea revoluționară în sectoare și tehnologii cheie, precum și investiții în infrastructură, cu efecte de propagare pozitive pentru economia UE în general.</w:t>
      </w:r>
    </w:p>
    <w:p w14:paraId="7797F97C"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Comisia a adoptat Comunicarea revizuită privind PIIEC în urma unei evaluări a normelor actuale efectuată în 2019 ca parte a verificării adecvării ajutoarelor de stat și în urma unei ample consultări a tuturor părților interesate cu privire la textul revizuit propus al comunicării. Printre aceste părți interesate s-au numărat state membre, asociații de întreprinderi, grupuri de interese, societăți individuale, ONG-uri și cetățeni.</w:t>
      </w:r>
    </w:p>
    <w:p w14:paraId="1C4AF2B9"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lastRenderedPageBreak/>
        <w:t xml:space="preserve">Comunicarea revizuită privind PIIEC include o serie de ajustări specifice pentru a reflecta experiența dobândită în urma aplicării Comunicării din 2014 privind PIIEC și pentru </w:t>
      </w:r>
      <w:proofErr w:type="gramStart"/>
      <w:r w:rsidRPr="0017074A">
        <w:rPr>
          <w:rFonts w:ascii="Verdana" w:hAnsi="Verdana"/>
          <w:color w:val="313131"/>
          <w:sz w:val="18"/>
          <w:szCs w:val="18"/>
        </w:rPr>
        <w:t>a</w:t>
      </w:r>
      <w:proofErr w:type="gramEnd"/>
      <w:r w:rsidRPr="0017074A">
        <w:rPr>
          <w:rFonts w:ascii="Verdana" w:hAnsi="Verdana"/>
          <w:color w:val="313131"/>
          <w:sz w:val="18"/>
          <w:szCs w:val="18"/>
        </w:rPr>
        <w:t xml:space="preserve"> alinia normele relevante la prioritățile actuale ale UE. În special, comunicarea revizuită:</w:t>
      </w:r>
    </w:p>
    <w:p w14:paraId="024E739C" w14:textId="77777777" w:rsidR="0017074A" w:rsidRPr="0017074A" w:rsidRDefault="0017074A" w:rsidP="0017074A">
      <w:pPr>
        <w:numPr>
          <w:ilvl w:val="0"/>
          <w:numId w:val="31"/>
        </w:numPr>
        <w:rPr>
          <w:color w:val="313131"/>
          <w:szCs w:val="18"/>
        </w:rPr>
      </w:pPr>
      <w:r w:rsidRPr="0017074A">
        <w:rPr>
          <w:rStyle w:val="Strong"/>
          <w:color w:val="313131"/>
        </w:rPr>
        <w:t>Consolidează și mai mult caracterul european și deschis al PIIEC</w:t>
      </w:r>
      <w:r w:rsidRPr="0017074A">
        <w:rPr>
          <w:color w:val="313131"/>
          <w:szCs w:val="18"/>
        </w:rPr>
        <w:t>, prevăzând că PIIEC trebuie să implice în mod normal cel puțin patru state membre și impunând ca PIIEC să fie concepute într-un mod transparent și incluziv. În acest fel, toate statele membre sunt informate cu privire la posibila lansare a unui PIIEC, de exemplu prin intermediul contactelor și al reuniunilor pregătitoare, și că li se oferă posibilitatea de a participa dacă sunt interesate.</w:t>
      </w:r>
    </w:p>
    <w:p w14:paraId="16B5D754" w14:textId="77777777" w:rsidR="0017074A" w:rsidRPr="0017074A" w:rsidRDefault="0017074A" w:rsidP="0017074A">
      <w:pPr>
        <w:numPr>
          <w:ilvl w:val="0"/>
          <w:numId w:val="31"/>
        </w:numPr>
        <w:rPr>
          <w:color w:val="313131"/>
          <w:szCs w:val="18"/>
        </w:rPr>
      </w:pPr>
      <w:r w:rsidRPr="0017074A">
        <w:rPr>
          <w:rStyle w:val="Strong"/>
          <w:color w:val="313131"/>
        </w:rPr>
        <w:t>Facilitează participarea întreprinderilor mici și mijlocii (IMM-uri) în cadrul PIIEC</w:t>
      </w:r>
      <w:r w:rsidRPr="0017074A">
        <w:rPr>
          <w:color w:val="313131"/>
          <w:szCs w:val="18"/>
        </w:rPr>
        <w:t> și sporește beneficiile implicării acestora, prin facilități specifice pentru evaluarea compatibilității ajutorului acordat IMM-urilor, cum ar fi posibilitatea ca întreprinderile mai mici să aibă o contribuție proprie la proiecte mai limitată decât cea cerută în general. Comunicarea revizuită încurajează, de asemenea, colaborările dintre întreprinderile mai mari care participă la un PIIEC și IMM-uri.</w:t>
      </w:r>
    </w:p>
    <w:p w14:paraId="59127913" w14:textId="77777777" w:rsidR="0017074A" w:rsidRPr="0017074A" w:rsidRDefault="0017074A" w:rsidP="0017074A">
      <w:pPr>
        <w:numPr>
          <w:ilvl w:val="0"/>
          <w:numId w:val="31"/>
        </w:numPr>
        <w:rPr>
          <w:color w:val="313131"/>
          <w:szCs w:val="18"/>
        </w:rPr>
      </w:pPr>
      <w:r w:rsidRPr="0017074A">
        <w:rPr>
          <w:rStyle w:val="Strong"/>
          <w:color w:val="313131"/>
        </w:rPr>
        <w:t>Își aliniază obiectivele la prioritățile actuale ale UE</w:t>
      </w:r>
      <w:r w:rsidRPr="0017074A">
        <w:rPr>
          <w:color w:val="313131"/>
          <w:szCs w:val="18"/>
        </w:rPr>
        <w:t>. În acest sens, de exemplu, pentru a sprijini strategiile de mediu ale UE și pentru a accelera tranziția verde a UE, Comunicarea revizuită privind PIIEC prevede obligația statelor membre de a furniza dovezi privind conformitatea proiectelor notificate cu principiul de „</w:t>
      </w:r>
      <w:r w:rsidRPr="0017074A">
        <w:rPr>
          <w:rStyle w:val="Emphasis"/>
          <w:color w:val="313131"/>
        </w:rPr>
        <w:t>a nu aduce prejudicii semnificative</w:t>
      </w:r>
      <w:r w:rsidRPr="0017074A">
        <w:rPr>
          <w:color w:val="313131"/>
          <w:szCs w:val="18"/>
        </w:rPr>
        <w:t>”. De asemenea, comunicarea revizuită privind PIIEC clarifică criteriile pentru combinarea fondurilor UE cu cele naționale.</w:t>
      </w:r>
    </w:p>
    <w:p w14:paraId="34BBAA4A"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În același timp, Comunicarea revizuită privind PIIEC confirmă cerința ca PIIEC să producă efecte de propagare pozitive semnificative în întreaga UE și menține, de asemenea, garanții solide pentru a se asigura că ajutorul este limitat la ceea ce este necesar și pentru a preveni denaturarea nejustificată a concurenței.</w:t>
      </w:r>
    </w:p>
    <w:p w14:paraId="1E80B14D"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Style w:val="Strong"/>
          <w:color w:val="313131"/>
        </w:rPr>
        <w:t>Context</w:t>
      </w:r>
    </w:p>
    <w:p w14:paraId="4A1E9756"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PIIEC sunt proiecte transfrontaliere revoluționare ambițioase de inovare și infrastructură desfășurate de statele membre, care pot contribui în mod semnificativ la realizarea strategiilor UE, inclusiv a Pactului verde european și a strategiei digitale, generând, în același timp, efecte de propagare pozitive care se fac resimțite și în afara statelor membre participante, la nivelul economiei UE și al cetățenilor săi în sens larg.</w:t>
      </w:r>
    </w:p>
    <w:p w14:paraId="12A09935"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Comunicarea privind PIIEC completează alte norme privind ajutoarele de stat, cum ar fi Regulamentul general de exceptare pe categorii de ajutoare și Cadrul pentru cercetare, dezvoltare și inovare, care permit sprijinirea proiectelor inovatoare în condiții foarte favorabile.</w:t>
      </w:r>
    </w:p>
    <w:p w14:paraId="36224D5D" w14:textId="77777777" w:rsidR="0017074A" w:rsidRPr="0017074A" w:rsidRDefault="0017074A" w:rsidP="0017074A">
      <w:pPr>
        <w:pStyle w:val="Stilsursa"/>
      </w:pPr>
      <w:r w:rsidRPr="0017074A">
        <w:t>Sursa: Comisia Europeană</w:t>
      </w:r>
    </w:p>
    <w:p w14:paraId="37B20CAC" w14:textId="5CFEAAB8" w:rsidR="0017074A" w:rsidRPr="0017074A" w:rsidRDefault="0017074A" w:rsidP="0017074A">
      <w:pPr>
        <w:pStyle w:val="separatorarticole"/>
      </w:pPr>
      <w:r w:rsidRPr="0017074A">
        <w:t>*</w:t>
      </w:r>
    </w:p>
    <w:p w14:paraId="4B06BD77" w14:textId="77777777" w:rsidR="0017074A" w:rsidRPr="0017074A" w:rsidRDefault="0017074A" w:rsidP="0017074A">
      <w:pPr>
        <w:pStyle w:val="TitluArticolinINFOUE"/>
        <w:rPr>
          <w:lang w:eastAsia="ro-RO"/>
        </w:rPr>
      </w:pPr>
      <w:bookmarkStart w:id="131" w:name="_Toc89334229"/>
      <w:r w:rsidRPr="0017074A">
        <w:t>POCU: Modificări la ghidul adresat educației nonformale în sistem outdoor</w:t>
      </w:r>
      <w:bookmarkEnd w:id="131"/>
    </w:p>
    <w:p w14:paraId="5C9F6C99"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AM POCU a publicat </w:t>
      </w:r>
      <w:proofErr w:type="gramStart"/>
      <w:r w:rsidRPr="0017074A">
        <w:rPr>
          <w:rFonts w:ascii="Verdana" w:hAnsi="Verdana"/>
          <w:color w:val="313131"/>
          <w:sz w:val="18"/>
          <w:szCs w:val="18"/>
        </w:rPr>
        <w:t>un</w:t>
      </w:r>
      <w:proofErr w:type="gramEnd"/>
      <w:r w:rsidRPr="0017074A">
        <w:rPr>
          <w:rFonts w:ascii="Verdana" w:hAnsi="Verdana"/>
          <w:color w:val="313131"/>
          <w:sz w:val="18"/>
          <w:szCs w:val="18"/>
        </w:rPr>
        <w:t xml:space="preserve"> corrigendum la Ghidul solicitantului condiții specifice „</w:t>
      </w:r>
      <w:r w:rsidRPr="0017074A">
        <w:rPr>
          <w:rStyle w:val="Emphasis"/>
          <w:b/>
          <w:bCs/>
          <w:color w:val="313131"/>
        </w:rPr>
        <w:t>Educație nonformală în sistem outdoor</w:t>
      </w:r>
      <w:r w:rsidRPr="0017074A">
        <w:rPr>
          <w:rFonts w:ascii="Verdana" w:hAnsi="Verdana"/>
          <w:color w:val="313131"/>
          <w:sz w:val="18"/>
          <w:szCs w:val="18"/>
        </w:rPr>
        <w:t>”.</w:t>
      </w:r>
    </w:p>
    <w:p w14:paraId="6B1618C6"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Potrivit documentului, </w:t>
      </w:r>
      <w:r w:rsidRPr="0017074A">
        <w:rPr>
          <w:rStyle w:val="Strong"/>
          <w:color w:val="313131"/>
        </w:rPr>
        <w:t>modificările vizează</w:t>
      </w:r>
      <w:r w:rsidRPr="0017074A">
        <w:rPr>
          <w:rFonts w:ascii="Verdana" w:hAnsi="Verdana"/>
          <w:color w:val="313131"/>
          <w:sz w:val="18"/>
          <w:szCs w:val="18"/>
        </w:rPr>
        <w:t> </w:t>
      </w:r>
      <w:r w:rsidRPr="0017074A">
        <w:rPr>
          <w:rStyle w:val="Strong"/>
          <w:color w:val="313131"/>
        </w:rPr>
        <w:t>subcapitolele</w:t>
      </w:r>
      <w:r w:rsidRPr="0017074A">
        <w:rPr>
          <w:rFonts w:ascii="Verdana" w:hAnsi="Verdana"/>
          <w:color w:val="313131"/>
          <w:sz w:val="18"/>
          <w:szCs w:val="18"/>
        </w:rPr>
        <w:t> </w:t>
      </w:r>
      <w:r w:rsidRPr="0017074A">
        <w:rPr>
          <w:rStyle w:val="Emphasis"/>
          <w:color w:val="313131"/>
        </w:rPr>
        <w:t>Tipuri de solicitanți eligibili</w:t>
      </w:r>
      <w:r w:rsidRPr="0017074A">
        <w:rPr>
          <w:rFonts w:ascii="Verdana" w:hAnsi="Verdana"/>
          <w:color w:val="313131"/>
          <w:sz w:val="18"/>
          <w:szCs w:val="18"/>
        </w:rPr>
        <w:t>, </w:t>
      </w:r>
      <w:r w:rsidRPr="0017074A">
        <w:rPr>
          <w:rStyle w:val="Emphasis"/>
          <w:color w:val="313131"/>
        </w:rPr>
        <w:t>Alocarea stabilită pentru apelul de proiecte,</w:t>
      </w:r>
      <w:r w:rsidRPr="0017074A">
        <w:rPr>
          <w:rFonts w:ascii="Verdana" w:hAnsi="Verdana"/>
          <w:color w:val="313131"/>
          <w:sz w:val="18"/>
          <w:szCs w:val="18"/>
        </w:rPr>
        <w:t> </w:t>
      </w:r>
      <w:r w:rsidRPr="0017074A">
        <w:rPr>
          <w:rStyle w:val="Emphasis"/>
          <w:color w:val="313131"/>
        </w:rPr>
        <w:t>Valoarea minimă și maximă a proiectului, rata de cofinanțare, Eligibilitatea cheltuielilor.</w:t>
      </w:r>
    </w:p>
    <w:p w14:paraId="49C1530C" w14:textId="77777777" w:rsidR="0017074A" w:rsidRPr="0017074A" w:rsidRDefault="0017074A"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De asemenea, ordinul prevede </w:t>
      </w:r>
      <w:r w:rsidRPr="0017074A">
        <w:rPr>
          <w:rStyle w:val="Strong"/>
          <w:color w:val="313131"/>
        </w:rPr>
        <w:t>înlocuirea </w:t>
      </w:r>
      <w:r w:rsidRPr="0017074A">
        <w:rPr>
          <w:rFonts w:ascii="Verdana" w:hAnsi="Verdana"/>
          <w:color w:val="313131"/>
          <w:sz w:val="18"/>
          <w:szCs w:val="18"/>
        </w:rPr>
        <w:t xml:space="preserve">grilelor de evaluare, respectiv </w:t>
      </w:r>
      <w:proofErr w:type="gramStart"/>
      <w:r w:rsidRPr="0017074A">
        <w:rPr>
          <w:rFonts w:ascii="Verdana" w:hAnsi="Verdana"/>
          <w:color w:val="313131"/>
          <w:sz w:val="18"/>
          <w:szCs w:val="18"/>
        </w:rPr>
        <w:t>a</w:t>
      </w:r>
      <w:proofErr w:type="gramEnd"/>
      <w:r w:rsidRPr="0017074A">
        <w:rPr>
          <w:rFonts w:ascii="Verdana" w:hAnsi="Verdana"/>
          <w:color w:val="313131"/>
          <w:sz w:val="18"/>
          <w:szCs w:val="18"/>
        </w:rPr>
        <w:t xml:space="preserve"> anexei 1</w:t>
      </w:r>
      <w:r w:rsidRPr="0017074A">
        <w:rPr>
          <w:rStyle w:val="Emphasis"/>
          <w:color w:val="313131"/>
        </w:rPr>
        <w:t> Criteriile de verificare a conformității</w:t>
      </w:r>
      <w:r w:rsidRPr="0017074A">
        <w:rPr>
          <w:rFonts w:ascii="Verdana" w:hAnsi="Verdana"/>
          <w:color w:val="313131"/>
          <w:sz w:val="18"/>
          <w:szCs w:val="18"/>
        </w:rPr>
        <w:t> </w:t>
      </w:r>
      <w:r w:rsidRPr="0017074A">
        <w:rPr>
          <w:rStyle w:val="Emphasis"/>
          <w:color w:val="313131"/>
        </w:rPr>
        <w:t>administrative și a eligibilității</w:t>
      </w:r>
      <w:r w:rsidRPr="0017074A">
        <w:rPr>
          <w:rFonts w:ascii="Verdana" w:hAnsi="Verdana"/>
          <w:color w:val="313131"/>
          <w:sz w:val="18"/>
          <w:szCs w:val="18"/>
        </w:rPr>
        <w:t> și anexei 2</w:t>
      </w:r>
      <w:r w:rsidRPr="0017074A">
        <w:rPr>
          <w:rStyle w:val="Emphasis"/>
          <w:color w:val="313131"/>
        </w:rPr>
        <w:t>: Criterii de evaluare și selecție</w:t>
      </w:r>
      <w:r w:rsidRPr="0017074A">
        <w:rPr>
          <w:rFonts w:ascii="Verdana" w:hAnsi="Verdana"/>
          <w:color w:val="313131"/>
          <w:sz w:val="18"/>
          <w:szCs w:val="18"/>
        </w:rPr>
        <w:t>.</w:t>
      </w:r>
    </w:p>
    <w:p w14:paraId="189BDB96" w14:textId="77777777" w:rsidR="0017074A" w:rsidRPr="0017074A" w:rsidRDefault="0017074A" w:rsidP="0017074A">
      <w:pPr>
        <w:pStyle w:val="NormalWeb"/>
        <w:spacing w:before="120" w:beforeAutospacing="0" w:after="0" w:afterAutospacing="0"/>
        <w:rPr>
          <w:rFonts w:ascii="Verdana" w:hAnsi="Verdana"/>
          <w:color w:val="313131"/>
          <w:sz w:val="18"/>
          <w:szCs w:val="18"/>
        </w:rPr>
      </w:pPr>
      <w:hyperlink r:id="rId18" w:tgtFrame="_blank" w:history="1">
        <w:r w:rsidRPr="0017074A">
          <w:rPr>
            <w:rStyle w:val="Emphasis"/>
            <w:b/>
            <w:bCs/>
            <w:color w:val="0000FF"/>
            <w:u w:val="single"/>
          </w:rPr>
          <w:t>Descarcă</w:t>
        </w:r>
      </w:hyperlink>
      <w:r w:rsidRPr="0017074A">
        <w:rPr>
          <w:rFonts w:ascii="Verdana" w:hAnsi="Verdana"/>
          <w:color w:val="313131"/>
          <w:sz w:val="18"/>
          <w:szCs w:val="18"/>
        </w:rPr>
        <w:t> Ordinul nr. 1312 din 23.11.2021</w:t>
      </w:r>
    </w:p>
    <w:p w14:paraId="2E43D65F" w14:textId="77777777" w:rsidR="0017074A" w:rsidRPr="0017074A" w:rsidRDefault="0017074A" w:rsidP="0017074A">
      <w:pPr>
        <w:pStyle w:val="Stilsursa"/>
      </w:pPr>
      <w:r w:rsidRPr="0017074A">
        <w:t>Sursa: MIPE</w:t>
      </w:r>
    </w:p>
    <w:p w14:paraId="4F00708D" w14:textId="7B83BBEC" w:rsidR="0017074A" w:rsidRPr="0017074A" w:rsidRDefault="0017074A" w:rsidP="0017074A">
      <w:pPr>
        <w:pStyle w:val="separatorarticole"/>
      </w:pPr>
      <w:r w:rsidRPr="0017074A">
        <w:t>*</w:t>
      </w:r>
    </w:p>
    <w:p w14:paraId="090CDB3F" w14:textId="77777777" w:rsidR="00AA00F2" w:rsidRPr="0017074A" w:rsidRDefault="00AA00F2" w:rsidP="0017074A">
      <w:pPr>
        <w:pStyle w:val="TitluArticolinINFOUE"/>
        <w:rPr>
          <w:lang w:eastAsia="ro-RO"/>
        </w:rPr>
      </w:pPr>
      <w:bookmarkStart w:id="132" w:name="_Toc89334230"/>
      <w:r w:rsidRPr="0017074A">
        <w:lastRenderedPageBreak/>
        <w:t>Eurodeputații au dat undă verde noii politici agricole a UE! Se dorește a fi mai ecologică, mai echitabilă, mai flexibilă și mai transparentă</w:t>
      </w:r>
      <w:bookmarkEnd w:id="132"/>
    </w:p>
    <w:p w14:paraId="4D43C472"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Marți, 22 noiembrie 2021, Parlamentul European a dat undă verde noii politici agricole a Uniunii Europene. Se dorește ca versiunea reformată </w:t>
      </w:r>
      <w:proofErr w:type="gramStart"/>
      <w:r w:rsidRPr="0017074A">
        <w:rPr>
          <w:rFonts w:ascii="Verdana" w:hAnsi="Verdana"/>
          <w:color w:val="313131"/>
          <w:sz w:val="18"/>
          <w:szCs w:val="18"/>
        </w:rPr>
        <w:t>să</w:t>
      </w:r>
      <w:proofErr w:type="gramEnd"/>
      <w:r w:rsidRPr="0017074A">
        <w:rPr>
          <w:rFonts w:ascii="Verdana" w:hAnsi="Verdana"/>
          <w:color w:val="313131"/>
          <w:sz w:val="18"/>
          <w:szCs w:val="18"/>
        </w:rPr>
        <w:t xml:space="preserve"> fie mai ecologică, mai echitabilă, mai flexibilă și mai transparentă, potrivit unul comunicat oficial al instituției.</w:t>
      </w:r>
    </w:p>
    <w:p w14:paraId="3BD42AF9"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Pe parcursul negocierilor privind pachetul de reformă legislativă, eurodeputații au subliniat că </w:t>
      </w:r>
      <w:proofErr w:type="gramStart"/>
      <w:r w:rsidRPr="0017074A">
        <w:rPr>
          <w:rFonts w:ascii="Verdana" w:hAnsi="Verdana"/>
          <w:color w:val="313131"/>
          <w:sz w:val="18"/>
          <w:szCs w:val="18"/>
        </w:rPr>
        <w:t>este</w:t>
      </w:r>
      <w:proofErr w:type="gramEnd"/>
      <w:r w:rsidRPr="0017074A">
        <w:rPr>
          <w:rFonts w:ascii="Verdana" w:hAnsi="Verdana"/>
          <w:color w:val="313131"/>
          <w:sz w:val="18"/>
          <w:szCs w:val="18"/>
        </w:rPr>
        <w:t xml:space="preserve"> esențial să se îmbunătățească biodiversitatea și să se respecte legislația și angajamentele Uniunii Europene în materie de mediu și climă pentru a pune în aplicare politica agricolă comună reformată (PAC). Ea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intra în vigoare în 2023. Comisia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evalua dacă planurile strategice naționale aferente PAC sunt conforme cu aceste angajamente, iar agricultorii vor trebui să adopte practici care respectă clima și mediul. Statele membre vor trebui </w:t>
      </w:r>
      <w:proofErr w:type="gramStart"/>
      <w:r w:rsidRPr="0017074A">
        <w:rPr>
          <w:rFonts w:ascii="Verdana" w:hAnsi="Verdana"/>
          <w:color w:val="313131"/>
          <w:sz w:val="18"/>
          <w:szCs w:val="18"/>
        </w:rPr>
        <w:t>să</w:t>
      </w:r>
      <w:proofErr w:type="gramEnd"/>
      <w:r w:rsidRPr="0017074A">
        <w:rPr>
          <w:rFonts w:ascii="Verdana" w:hAnsi="Verdana"/>
          <w:color w:val="313131"/>
          <w:sz w:val="18"/>
          <w:szCs w:val="18"/>
        </w:rPr>
        <w:t xml:space="preserve"> se asigure că cel puțin 35% din bugetul pentru dezvoltare rurală și cel puțin 25% din plățile directe vor fi dedicate măsurilor de protecție a mediului și a climei.</w:t>
      </w:r>
    </w:p>
    <w:p w14:paraId="558158F7"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Style w:val="Strong"/>
          <w:color w:val="313131"/>
        </w:rPr>
        <w:t>Mai mult sprijin pentru fermele mici și tinerii agricultori</w:t>
      </w:r>
    </w:p>
    <w:p w14:paraId="5E3ED2A5"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Fermele mici și mijlocii vor primi cel puțin 10% din plățile directe, iar tinerii agricultori cel puțin 3% din bugetul PAC. De asemenea,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fi creată o rezervă permanentă pentru situații de criză, cu un buget anual de 450 de milioane EUR (în prețuri curente). Aceasta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fi folosită pentru a ajuta agricultorii care se confruntă cu instabilitatea prețurilor sau a pieței.</w:t>
      </w:r>
    </w:p>
    <w:p w14:paraId="2B23F8C2"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Style w:val="Strong"/>
          <w:color w:val="313131"/>
        </w:rPr>
        <w:t>Mai multă transparență și o respectare mai strictă a normelor în domeniul muncii</w:t>
      </w:r>
    </w:p>
    <w:p w14:paraId="1E0AE4C6"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Totodată, normele Uniunii din domeniul muncii aferente sectoarelor agricole vor fi monitorizate mai bine, iar încălcările penalizate datorită cooperării dintre inspectorii de muncă naționali și agențiile de plăți din cadrul PAC.</w:t>
      </w:r>
    </w:p>
    <w:p w14:paraId="22F73F8C"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 xml:space="preserve">Informațiile despre beneficiarii finali ai sprijinului din partea Uniunii vor fi mai transparente datorită unui instrument al Uniunii de extragere a datelor. El </w:t>
      </w:r>
      <w:proofErr w:type="gramStart"/>
      <w:r w:rsidRPr="0017074A">
        <w:rPr>
          <w:rFonts w:ascii="Verdana" w:hAnsi="Verdana"/>
          <w:color w:val="313131"/>
          <w:sz w:val="18"/>
          <w:szCs w:val="18"/>
        </w:rPr>
        <w:t>va</w:t>
      </w:r>
      <w:proofErr w:type="gramEnd"/>
      <w:r w:rsidRPr="0017074A">
        <w:rPr>
          <w:rFonts w:ascii="Verdana" w:hAnsi="Verdana"/>
          <w:color w:val="313131"/>
          <w:sz w:val="18"/>
          <w:szCs w:val="18"/>
        </w:rPr>
        <w:t xml:space="preserve"> putea fi accesat de statele membre și va facilita identificarea riscului de fraudă prin verificări încrucișate ale informațiilor din bazele de date publice.</w:t>
      </w:r>
    </w:p>
    <w:p w14:paraId="024D9982"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„Regulamentul privind planurile strategice” a fost adoptat cu 452 voturi pentru, 178 împotrivă și 57 abțineri, „Regulamentul orizontal” cu 485 voturi pentru, 142 împotrivă și 61 abțineri, iar „Regulamentul privind organizarea comună a pieței produselor agricole” cu 487 voturi pentru, 130 împotrivă și 71 abțineri.</w:t>
      </w:r>
    </w:p>
    <w:p w14:paraId="7606B3D1" w14:textId="77777777" w:rsidR="00AA00F2" w:rsidRPr="0017074A" w:rsidRDefault="00AA00F2" w:rsidP="0017074A">
      <w:pPr>
        <w:pStyle w:val="Stilsursa"/>
      </w:pPr>
      <w:r w:rsidRPr="0017074A">
        <w:t>Sursa: Parlamentul European</w:t>
      </w:r>
    </w:p>
    <w:p w14:paraId="7B752125" w14:textId="7A2D3D7B" w:rsidR="00AA00F2" w:rsidRPr="0017074A" w:rsidRDefault="00AA00F2" w:rsidP="0017074A">
      <w:pPr>
        <w:pStyle w:val="separatorarticole"/>
      </w:pPr>
      <w:r w:rsidRPr="0017074A">
        <w:t>*</w:t>
      </w:r>
    </w:p>
    <w:p w14:paraId="2FC8DEF7" w14:textId="77777777" w:rsidR="00AA00F2" w:rsidRPr="0017074A" w:rsidRDefault="00AA00F2" w:rsidP="0017074A">
      <w:pPr>
        <w:pStyle w:val="TitluArticolinINFOUE"/>
        <w:rPr>
          <w:lang w:eastAsia="ro-RO"/>
        </w:rPr>
      </w:pPr>
      <w:bookmarkStart w:id="133" w:name="_Toc89334231"/>
      <w:r w:rsidRPr="0017074A">
        <w:t>Modificări la ghidul pentru depunerea în MySMIS a cererilor de finanțare aferente fișelor selectate de GAL în cadrul SDL</w:t>
      </w:r>
      <w:bookmarkEnd w:id="133"/>
    </w:p>
    <w:p w14:paraId="481E7BB4"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AM POCU a publicat ieri, 22 noiembrie 2021, un corrigendum la Ghidul solicitantului condiții specifice pentru depunerea în sistemul MySMIS a  cererilor de finanțare aferente fișelor de proiect selectate de GAL în cadrul SDL – Etapa a III-a a mecanismului DLRC, aferent Programului Operațional Capital Uman 2014-2020, POCU 2014-2020, Axa Prioritară 5 „Dezvoltare locală plasată sub responsabilitatea comunității”, Obiectivul specific 5.1 „Reducerea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547C774A" w14:textId="77777777" w:rsidR="00AA00F2" w:rsidRPr="0017074A" w:rsidRDefault="00AA00F2" w:rsidP="0017074A">
      <w:pPr>
        <w:numPr>
          <w:ilvl w:val="0"/>
          <w:numId w:val="26"/>
        </w:numPr>
        <w:rPr>
          <w:color w:val="313131"/>
          <w:szCs w:val="18"/>
        </w:rPr>
      </w:pPr>
      <w:hyperlink r:id="rId19" w:tgtFrame="_blank" w:history="1">
        <w:r w:rsidRPr="0017074A">
          <w:rPr>
            <w:rStyle w:val="Hyperlink"/>
          </w:rPr>
          <w:t>Ordinul nr. 1 313 din 23.11.2021</w:t>
        </w:r>
      </w:hyperlink>
      <w:r w:rsidRPr="0017074A">
        <w:rPr>
          <w:color w:val="313131"/>
          <w:szCs w:val="18"/>
        </w:rPr>
        <w:t> pentru modificarea Ghidului Solicitantului Condiții Specifice pentru depunerea în sistemul MySMIS a cererilor de finanțare aferente fișelor de proiect selectate de GAL în cadrul SDL – Etapa a III-a a mecanismului DLRC, aferent Programului Operațional Capital Uman 2014-2020, POCU 2014-2020, Axa Prioritară 5 „Dezvoltare locală plasată sub responsabilitatea comunității”, Obiectivul specific 5.1 „Reducerea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 aprobat prin Ordinul ministrului fondurilor europene nr. 1628/2019</w:t>
      </w:r>
    </w:p>
    <w:p w14:paraId="45F935FD" w14:textId="77777777" w:rsidR="00AA00F2" w:rsidRPr="0017074A" w:rsidRDefault="00AA00F2" w:rsidP="0017074A">
      <w:pPr>
        <w:pStyle w:val="Stilsursa"/>
      </w:pPr>
      <w:r w:rsidRPr="0017074A">
        <w:t>Sursa: MIPE </w:t>
      </w:r>
    </w:p>
    <w:p w14:paraId="76E235A2" w14:textId="0498F82A" w:rsidR="00AA00F2" w:rsidRPr="0017074A" w:rsidRDefault="00AA00F2" w:rsidP="0017074A">
      <w:pPr>
        <w:pStyle w:val="separatorarticole"/>
      </w:pPr>
      <w:r w:rsidRPr="0017074A">
        <w:lastRenderedPageBreak/>
        <w:t>*</w:t>
      </w:r>
    </w:p>
    <w:p w14:paraId="023D756E" w14:textId="77777777" w:rsidR="00AA00F2" w:rsidRPr="0017074A" w:rsidRDefault="00AA00F2" w:rsidP="0017074A">
      <w:pPr>
        <w:pStyle w:val="TitluArticolinINFOUE"/>
        <w:rPr>
          <w:lang w:eastAsia="ro-RO"/>
        </w:rPr>
      </w:pPr>
      <w:bookmarkStart w:id="134" w:name="_Toc89334232"/>
      <w:r w:rsidRPr="0017074A">
        <w:t>O nouă versiune a metodologiei privind monitorizarea indicatorilor financiari și fizici ai POC 2014-2020</w:t>
      </w:r>
      <w:bookmarkEnd w:id="134"/>
    </w:p>
    <w:p w14:paraId="0ACEA31A" w14:textId="77777777" w:rsidR="00AA00F2" w:rsidRPr="0017074A" w:rsidRDefault="00AA00F2" w:rsidP="0017074A">
      <w:pPr>
        <w:pStyle w:val="NormalWeb"/>
        <w:spacing w:before="120" w:beforeAutospacing="0" w:after="0" w:afterAutospacing="0"/>
        <w:rPr>
          <w:rFonts w:ascii="Verdana" w:hAnsi="Verdana"/>
          <w:color w:val="313131"/>
          <w:sz w:val="18"/>
          <w:szCs w:val="18"/>
        </w:rPr>
      </w:pPr>
      <w:r w:rsidRPr="0017074A">
        <w:rPr>
          <w:rFonts w:ascii="Verdana" w:hAnsi="Verdana"/>
          <w:color w:val="313131"/>
          <w:sz w:val="18"/>
          <w:szCs w:val="18"/>
        </w:rPr>
        <w:t>AM POC a publicat ieri, 22 noiembrie 2021, versiunea noiembrie 2021 a Metodologiei privind monitorizarea indicatorilor financiari si fizici ai Programului Operațional Competitivitate 2014-2020.</w:t>
      </w:r>
    </w:p>
    <w:p w14:paraId="3453E162" w14:textId="77777777" w:rsidR="00AA00F2" w:rsidRPr="0017074A" w:rsidRDefault="00AA00F2" w:rsidP="0017074A">
      <w:pPr>
        <w:pStyle w:val="NormalWeb"/>
        <w:spacing w:before="120" w:beforeAutospacing="0" w:after="0" w:afterAutospacing="0"/>
        <w:rPr>
          <w:rFonts w:ascii="Verdana" w:hAnsi="Verdana"/>
          <w:color w:val="313131"/>
          <w:sz w:val="18"/>
          <w:szCs w:val="18"/>
        </w:rPr>
      </w:pPr>
      <w:hyperlink r:id="rId20" w:tgtFrame="_blank" w:history="1">
        <w:r w:rsidRPr="0017074A">
          <w:rPr>
            <w:rStyle w:val="Emphasis"/>
            <w:b/>
            <w:bCs/>
            <w:color w:val="0000FF"/>
            <w:u w:val="single"/>
          </w:rPr>
          <w:t>Descarcă</w:t>
        </w:r>
      </w:hyperlink>
      <w:r w:rsidRPr="0017074A">
        <w:rPr>
          <w:rFonts w:ascii="Verdana" w:hAnsi="Verdana"/>
          <w:color w:val="313131"/>
          <w:sz w:val="18"/>
          <w:szCs w:val="18"/>
        </w:rPr>
        <w:t> documentul</w:t>
      </w:r>
    </w:p>
    <w:p w14:paraId="10FA3B45" w14:textId="77777777" w:rsidR="00AA00F2" w:rsidRPr="0017074A" w:rsidRDefault="00AA00F2" w:rsidP="0017074A">
      <w:pPr>
        <w:pStyle w:val="Stilsursa"/>
      </w:pPr>
      <w:r w:rsidRPr="0017074A">
        <w:t>Sursa: MIPE</w:t>
      </w:r>
    </w:p>
    <w:p w14:paraId="7BEDBC2F" w14:textId="2B39D131" w:rsidR="004E3B23" w:rsidRDefault="004E3B23" w:rsidP="00132E1A">
      <w:pPr>
        <w:ind w:right="57"/>
        <w:jc w:val="center"/>
        <w:rPr>
          <w:color w:val="9999FF"/>
          <w:spacing w:val="40"/>
          <w:szCs w:val="18"/>
        </w:rPr>
      </w:pPr>
      <w:bookmarkStart w:id="135" w:name="_Toc75263875"/>
      <w:r w:rsidRPr="00F50627">
        <w:rPr>
          <w:color w:val="9999FF"/>
          <w:spacing w:val="40"/>
          <w:szCs w:val="18"/>
        </w:rPr>
        <w:sym w:font="Wingdings" w:char="F07B"/>
      </w:r>
    </w:p>
    <w:p w14:paraId="368532EF" w14:textId="4998B779" w:rsidR="0016557D" w:rsidRDefault="009906BC" w:rsidP="009906BC">
      <w:pPr>
        <w:pStyle w:val="Oportunitati"/>
      </w:pPr>
      <w:bookmarkStart w:id="136" w:name="_Toc89334233"/>
      <w:r>
        <w:t>Consultări</w:t>
      </w:r>
      <w:bookmarkEnd w:id="136"/>
    </w:p>
    <w:p w14:paraId="7AF57FC7" w14:textId="77777777" w:rsidR="0017074A" w:rsidRPr="00C04BEE" w:rsidRDefault="0017074A" w:rsidP="00C04BEE">
      <w:pPr>
        <w:pStyle w:val="TitluArticolinINFOUE"/>
        <w:rPr>
          <w:lang w:eastAsia="ro-RO"/>
        </w:rPr>
      </w:pPr>
      <w:bookmarkStart w:id="137" w:name="_Toc89334234"/>
      <w:r w:rsidRPr="00C04BEE">
        <w:t>Hotărâre pentru aprobarea Memorandumului de înțelegere între Guvernul României și Banca Mondială, în consultare publică!</w:t>
      </w:r>
      <w:bookmarkEnd w:id="137"/>
    </w:p>
    <w:p w14:paraId="3733FA4B"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Ministerul Investițiilor și Proiectelor Europene a lansat ieri, 25 noiembrie 2021, în consultare publică, Hotărârea pentru aprobarea Memorandumului de înţelegere între Guvernul României şi Banca Mondială privind Parteneriatul pentru Modernizarea Administraţiei Publice şi Sprijinirea Reformelor Structurale, semnat la București la 13 iulie 2021.</w:t>
      </w:r>
    </w:p>
    <w:p w14:paraId="6015D29B"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În baza acestui Memorandum sprijinul acordat de Banca Mondială se va concentra asupra domeniilor prioritare incluse în Acordul de Parteneriat 2021-2027, Planul Național de Redresare și Reziliență – Finanțare pentru România modernă și reformată şi în strategiile de parteneriat de ţară actuale şi ulterioare încheiate între România şi Banca Mondială, inclusiv, dar fără a se limita la:</w:t>
      </w:r>
    </w:p>
    <w:p w14:paraId="403D6976" w14:textId="77777777" w:rsidR="0017074A" w:rsidRPr="00C04BEE" w:rsidRDefault="0017074A" w:rsidP="00C04BEE">
      <w:pPr>
        <w:numPr>
          <w:ilvl w:val="0"/>
          <w:numId w:val="30"/>
        </w:numPr>
        <w:rPr>
          <w:color w:val="313131"/>
          <w:szCs w:val="18"/>
        </w:rPr>
      </w:pPr>
      <w:r w:rsidRPr="00C04BEE">
        <w:rPr>
          <w:color w:val="313131"/>
          <w:szCs w:val="18"/>
        </w:rPr>
        <w:t>sprijin în implementarea obiectivelor Fondurilor UE;</w:t>
      </w:r>
    </w:p>
    <w:p w14:paraId="0F03B5F4" w14:textId="77777777" w:rsidR="0017074A" w:rsidRPr="00C04BEE" w:rsidRDefault="0017074A" w:rsidP="00C04BEE">
      <w:pPr>
        <w:numPr>
          <w:ilvl w:val="0"/>
          <w:numId w:val="30"/>
        </w:numPr>
        <w:rPr>
          <w:color w:val="313131"/>
          <w:szCs w:val="18"/>
        </w:rPr>
      </w:pPr>
      <w:r w:rsidRPr="00C04BEE">
        <w:rPr>
          <w:color w:val="313131"/>
          <w:szCs w:val="18"/>
        </w:rPr>
        <w:t>sprijin pentru dezvoltarea și implementarea reformelor politicilor, menite să ajute România să se alinieze standardelor UE;</w:t>
      </w:r>
    </w:p>
    <w:p w14:paraId="1C67FC34" w14:textId="77777777" w:rsidR="0017074A" w:rsidRPr="00C04BEE" w:rsidRDefault="0017074A" w:rsidP="00C04BEE">
      <w:pPr>
        <w:numPr>
          <w:ilvl w:val="0"/>
          <w:numId w:val="30"/>
        </w:numPr>
        <w:rPr>
          <w:color w:val="313131"/>
          <w:szCs w:val="18"/>
        </w:rPr>
      </w:pPr>
      <w:r w:rsidRPr="00C04BEE">
        <w:rPr>
          <w:color w:val="313131"/>
          <w:szCs w:val="18"/>
        </w:rPr>
        <w:t>promovarea prosperității împărtășite;</w:t>
      </w:r>
    </w:p>
    <w:p w14:paraId="5C4310F5" w14:textId="77777777" w:rsidR="0017074A" w:rsidRPr="00C04BEE" w:rsidRDefault="0017074A" w:rsidP="00C04BEE">
      <w:pPr>
        <w:numPr>
          <w:ilvl w:val="0"/>
          <w:numId w:val="30"/>
        </w:numPr>
        <w:rPr>
          <w:color w:val="313131"/>
          <w:szCs w:val="18"/>
        </w:rPr>
      </w:pPr>
      <w:r w:rsidRPr="00C04BEE">
        <w:rPr>
          <w:color w:val="313131"/>
          <w:szCs w:val="18"/>
        </w:rPr>
        <w:t>reducerea sărăciei și incluziunea socială, inclusiv pentru romi;</w:t>
      </w:r>
    </w:p>
    <w:p w14:paraId="13EE7E71" w14:textId="77777777" w:rsidR="0017074A" w:rsidRPr="00C04BEE" w:rsidRDefault="0017074A" w:rsidP="00C04BEE">
      <w:pPr>
        <w:numPr>
          <w:ilvl w:val="0"/>
          <w:numId w:val="30"/>
        </w:numPr>
        <w:rPr>
          <w:color w:val="313131"/>
          <w:szCs w:val="18"/>
        </w:rPr>
      </w:pPr>
      <w:r w:rsidRPr="00C04BEE">
        <w:rPr>
          <w:color w:val="313131"/>
          <w:szCs w:val="18"/>
        </w:rPr>
        <w:t>sprijin pentru îmbunătățirea capacității Guvernului de a folosi fondurile europene eficient și eficace;</w:t>
      </w:r>
    </w:p>
    <w:p w14:paraId="3F757D0F" w14:textId="77777777" w:rsidR="0017074A" w:rsidRPr="00C04BEE" w:rsidRDefault="0017074A" w:rsidP="00C04BEE">
      <w:pPr>
        <w:numPr>
          <w:ilvl w:val="0"/>
          <w:numId w:val="30"/>
        </w:numPr>
        <w:rPr>
          <w:color w:val="313131"/>
          <w:szCs w:val="18"/>
        </w:rPr>
      </w:pPr>
      <w:r w:rsidRPr="00C04BEE">
        <w:rPr>
          <w:color w:val="313131"/>
          <w:szCs w:val="18"/>
        </w:rPr>
        <w:t>consolidarea capacității generale a administrației publice.</w:t>
      </w:r>
    </w:p>
    <w:p w14:paraId="194B7148"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Memorandumul</w:t>
      </w:r>
      <w:proofErr w:type="gramStart"/>
      <w:r w:rsidRPr="00C04BEE">
        <w:rPr>
          <w:rFonts w:ascii="Verdana" w:hAnsi="Verdana"/>
          <w:color w:val="313131"/>
          <w:sz w:val="18"/>
          <w:szCs w:val="18"/>
        </w:rPr>
        <w:t>  intră</w:t>
      </w:r>
      <w:proofErr w:type="gramEnd"/>
      <w:r w:rsidRPr="00C04BEE">
        <w:rPr>
          <w:rFonts w:ascii="Verdana" w:hAnsi="Verdana"/>
          <w:color w:val="313131"/>
          <w:sz w:val="18"/>
          <w:szCs w:val="18"/>
        </w:rPr>
        <w:t xml:space="preserve"> în vigoare în momentul semnării acestuia de ambele părţi şi încetează la 31 decembrie 2029, oricare parte putând rezilia Memorandumul înainte de împlinirea termenului cu un preaviz de 3 luni.</w:t>
      </w:r>
    </w:p>
    <w:p w14:paraId="7E459FE8" w14:textId="77777777" w:rsidR="0017074A" w:rsidRPr="00C04BEE" w:rsidRDefault="0017074A" w:rsidP="00C04BEE">
      <w:pPr>
        <w:pStyle w:val="NormalWeb"/>
        <w:spacing w:before="120" w:beforeAutospacing="0" w:after="0" w:afterAutospacing="0"/>
        <w:rPr>
          <w:rFonts w:ascii="Verdana" w:hAnsi="Verdana"/>
          <w:color w:val="313131"/>
          <w:sz w:val="18"/>
          <w:szCs w:val="18"/>
        </w:rPr>
      </w:pPr>
      <w:hyperlink r:id="rId21" w:tgtFrame="_blank" w:history="1">
        <w:r w:rsidRPr="00C04BEE">
          <w:rPr>
            <w:rStyle w:val="Emphasis"/>
            <w:b/>
            <w:bCs/>
            <w:color w:val="0000FF"/>
            <w:u w:val="single"/>
          </w:rPr>
          <w:t>Descarcă</w:t>
        </w:r>
      </w:hyperlink>
      <w:r w:rsidRPr="00C04BEE">
        <w:rPr>
          <w:rFonts w:ascii="Verdana" w:hAnsi="Verdana"/>
          <w:color w:val="313131"/>
          <w:sz w:val="18"/>
          <w:szCs w:val="18"/>
        </w:rPr>
        <w:t> documentul</w:t>
      </w:r>
    </w:p>
    <w:p w14:paraId="501495CB"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xml:space="preserve">Perioada de consultare publică </w:t>
      </w:r>
      <w:proofErr w:type="gramStart"/>
      <w:r w:rsidRPr="00C04BEE">
        <w:rPr>
          <w:rFonts w:ascii="Verdana" w:hAnsi="Verdana"/>
          <w:color w:val="313131"/>
          <w:sz w:val="18"/>
          <w:szCs w:val="18"/>
        </w:rPr>
        <w:t>este</w:t>
      </w:r>
      <w:proofErr w:type="gramEnd"/>
      <w:r w:rsidRPr="00C04BEE">
        <w:rPr>
          <w:rFonts w:ascii="Verdana" w:hAnsi="Verdana"/>
          <w:color w:val="313131"/>
          <w:sz w:val="18"/>
          <w:szCs w:val="18"/>
        </w:rPr>
        <w:t xml:space="preserve"> de 10 de zile calendaristice de la momentul lansării (n.r. 25 noiembrie 2021), iar sugestiile pot fi trimise la adresa de e-mail </w:t>
      </w:r>
      <w:hyperlink r:id="rId22" w:history="1">
        <w:r w:rsidRPr="00C04BEE">
          <w:rPr>
            <w:rStyle w:val="Hyperlink"/>
          </w:rPr>
          <w:t>acte.normative@mfe.gov.ro</w:t>
        </w:r>
      </w:hyperlink>
      <w:r w:rsidRPr="00C04BEE">
        <w:rPr>
          <w:rFonts w:ascii="Verdana" w:hAnsi="Verdana"/>
          <w:color w:val="313131"/>
          <w:sz w:val="18"/>
          <w:szCs w:val="18"/>
        </w:rPr>
        <w:t>.</w:t>
      </w:r>
    </w:p>
    <w:p w14:paraId="3E1D6B88" w14:textId="77777777" w:rsidR="0017074A" w:rsidRPr="00C04BEE" w:rsidRDefault="0017074A" w:rsidP="00C04BEE">
      <w:pPr>
        <w:pStyle w:val="Stilsursa"/>
      </w:pPr>
      <w:r w:rsidRPr="00C04BEE">
        <w:t>Sursa: MIPE</w:t>
      </w:r>
    </w:p>
    <w:p w14:paraId="2A8AFC26" w14:textId="09B31ED2" w:rsidR="0017074A" w:rsidRPr="00C04BEE" w:rsidRDefault="0017074A" w:rsidP="00C04BEE">
      <w:pPr>
        <w:pStyle w:val="separatorarticole"/>
      </w:pPr>
      <w:r w:rsidRPr="00C04BEE">
        <w:t>*</w:t>
      </w:r>
    </w:p>
    <w:p w14:paraId="14CF6921" w14:textId="77777777" w:rsidR="00AA00F2" w:rsidRPr="00C04BEE" w:rsidRDefault="00AA00F2" w:rsidP="00C04BEE">
      <w:pPr>
        <w:pStyle w:val="TitluArticolinINFOUE"/>
        <w:rPr>
          <w:lang w:eastAsia="ro-RO"/>
        </w:rPr>
      </w:pPr>
      <w:bookmarkStart w:id="138" w:name="_Toc89334235"/>
      <w:r w:rsidRPr="00C04BEE">
        <w:t>Biroul PE în România și Reprezentanța Comisiei Europene organizează dezbaterea online „Mecanismul de redresare și reziliență. Viziune europeană, implementare locală”</w:t>
      </w:r>
      <w:bookmarkEnd w:id="138"/>
    </w:p>
    <w:p w14:paraId="7400DFF7"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Biroul Parlamentului European și Reprezentanța Comisiei Europene în România au anunțat organizarea dezbaterii online „Mecanismul de redresare și reziliență. Viziune europeană, implementare locală”.</w:t>
      </w:r>
    </w:p>
    <w:p w14:paraId="609D03C9"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Evenimentul va avea loc în data de </w:t>
      </w:r>
      <w:r w:rsidRPr="00C04BEE">
        <w:rPr>
          <w:rStyle w:val="Strong"/>
          <w:color w:val="313131"/>
        </w:rPr>
        <w:t>25 noiembrie 2021</w:t>
      </w:r>
      <w:r w:rsidRPr="00C04BEE">
        <w:rPr>
          <w:rFonts w:ascii="Verdana" w:hAnsi="Verdana"/>
          <w:color w:val="313131"/>
          <w:sz w:val="18"/>
          <w:szCs w:val="18"/>
        </w:rPr>
        <w:t>, de la orele 11:45 (ora României), și va fi transmis în direct pe paginile de Facebook ale Reprezentanței Comisiei Europene în România și ale Biroului de legătură al Parlamentului European (BLPE), dar şi pe contul de YouTube al BLPE.</w:t>
      </w:r>
    </w:p>
    <w:p w14:paraId="02A71602"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Cuvântul de deschidere va fi susținut de </w:t>
      </w:r>
      <w:r w:rsidRPr="00C04BEE">
        <w:rPr>
          <w:rStyle w:val="Strong"/>
          <w:color w:val="313131"/>
        </w:rPr>
        <w:t>Mădălina Beatrice Mihalache</w:t>
      </w:r>
      <w:r w:rsidRPr="00C04BEE">
        <w:rPr>
          <w:rFonts w:ascii="Verdana" w:hAnsi="Verdana"/>
          <w:color w:val="313131"/>
          <w:sz w:val="18"/>
          <w:szCs w:val="18"/>
        </w:rPr>
        <w:t>, șefa Biroului Parlamentului European în România, și </w:t>
      </w:r>
      <w:r w:rsidRPr="00C04BEE">
        <w:rPr>
          <w:rStyle w:val="Strong"/>
          <w:color w:val="313131"/>
        </w:rPr>
        <w:t>Ramona Chiriac</w:t>
      </w:r>
      <w:r w:rsidRPr="00C04BEE">
        <w:rPr>
          <w:rFonts w:ascii="Verdana" w:hAnsi="Verdana"/>
          <w:color w:val="313131"/>
          <w:sz w:val="18"/>
          <w:szCs w:val="18"/>
        </w:rPr>
        <w:t>, șefa Reprezentanței Comisiei Europene în România.</w:t>
      </w:r>
    </w:p>
    <w:p w14:paraId="5F03F1FD"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lastRenderedPageBreak/>
        <w:t>Vorbitorii principali în cadrul dezbaterilor sunt </w:t>
      </w:r>
      <w:r w:rsidRPr="00C04BEE">
        <w:rPr>
          <w:rStyle w:val="Strong"/>
          <w:color w:val="313131"/>
        </w:rPr>
        <w:t>Siegfried Mureșan</w:t>
      </w:r>
      <w:r w:rsidRPr="00C04BEE">
        <w:rPr>
          <w:rFonts w:ascii="Verdana" w:hAnsi="Verdana"/>
          <w:color w:val="313131"/>
          <w:sz w:val="18"/>
          <w:szCs w:val="18"/>
        </w:rPr>
        <w:t> și </w:t>
      </w:r>
      <w:r w:rsidRPr="00C04BEE">
        <w:rPr>
          <w:rStyle w:val="Strong"/>
          <w:color w:val="313131"/>
        </w:rPr>
        <w:t>Dragoș Pîslaru</w:t>
      </w:r>
      <w:r w:rsidRPr="00C04BEE">
        <w:rPr>
          <w:rFonts w:ascii="Verdana" w:hAnsi="Verdana"/>
          <w:color w:val="313131"/>
          <w:sz w:val="18"/>
          <w:szCs w:val="18"/>
        </w:rPr>
        <w:t>, membri ai Parlamentului European din partea grupurilor parlamentare ale Partidului Popular European și, respectiv, Renew Europe. Acestora li se vor alătura </w:t>
      </w:r>
      <w:r w:rsidRPr="00C04BEE">
        <w:rPr>
          <w:rStyle w:val="Strong"/>
          <w:color w:val="313131"/>
        </w:rPr>
        <w:t>Istvan Jakab</w:t>
      </w:r>
      <w:r w:rsidRPr="00C04BEE">
        <w:rPr>
          <w:rFonts w:ascii="Verdana" w:hAnsi="Verdana"/>
          <w:color w:val="313131"/>
          <w:sz w:val="18"/>
          <w:szCs w:val="18"/>
        </w:rPr>
        <w:t> și </w:t>
      </w:r>
      <w:r w:rsidRPr="00C04BEE">
        <w:rPr>
          <w:rStyle w:val="Strong"/>
          <w:color w:val="313131"/>
        </w:rPr>
        <w:t>Carmen Mărcuș</w:t>
      </w:r>
      <w:r w:rsidRPr="00C04BEE">
        <w:rPr>
          <w:rFonts w:ascii="Verdana" w:hAnsi="Verdana"/>
          <w:color w:val="313131"/>
          <w:sz w:val="18"/>
          <w:szCs w:val="18"/>
        </w:rPr>
        <w:t>, consilieri economici ai Reprezentanței Comisiei Europene.</w:t>
      </w:r>
    </w:p>
    <w:p w14:paraId="356757A5"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La eveniment vor participa reprezentanți ai centrelor de informare Europe Direct și ai societății civile din întreaga țară.</w:t>
      </w:r>
    </w:p>
    <w:p w14:paraId="589A3287"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Mai multe detalii sunt disponibile </w:t>
      </w:r>
      <w:hyperlink r:id="rId23" w:history="1">
        <w:r w:rsidRPr="00C04BEE">
          <w:rPr>
            <w:rStyle w:val="Hyperlink"/>
          </w:rPr>
          <w:t>aici</w:t>
        </w:r>
      </w:hyperlink>
      <w:r w:rsidRPr="00C04BEE">
        <w:rPr>
          <w:rFonts w:ascii="Verdana" w:hAnsi="Verdana"/>
          <w:color w:val="313131"/>
          <w:sz w:val="18"/>
          <w:szCs w:val="18"/>
        </w:rPr>
        <w:t>.</w:t>
      </w:r>
    </w:p>
    <w:p w14:paraId="2E9139DD" w14:textId="77777777" w:rsidR="00AA00F2" w:rsidRPr="00C04BEE" w:rsidRDefault="00AA00F2" w:rsidP="00C04BEE">
      <w:pPr>
        <w:pStyle w:val="Stilsursa"/>
      </w:pPr>
      <w:r w:rsidRPr="00C04BEE">
        <w:t>Sursa: Facebook Biroul Parlamentului European în România</w:t>
      </w:r>
    </w:p>
    <w:p w14:paraId="460077EF" w14:textId="77777777" w:rsidR="009906BC" w:rsidRDefault="009906BC" w:rsidP="009906BC">
      <w:pPr>
        <w:ind w:right="57"/>
        <w:jc w:val="center"/>
        <w:rPr>
          <w:color w:val="9999FF"/>
          <w:spacing w:val="40"/>
          <w:szCs w:val="18"/>
        </w:rPr>
      </w:pPr>
      <w:r w:rsidRPr="00F50627">
        <w:rPr>
          <w:color w:val="9999FF"/>
          <w:spacing w:val="40"/>
          <w:szCs w:val="18"/>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9" w:name="_Toc89334236"/>
      <w:bookmarkEnd w:id="135"/>
      <w:r w:rsidRPr="00B06E02">
        <w:rPr>
          <w:color w:val="006600"/>
          <w:sz w:val="18"/>
          <w:szCs w:val="18"/>
        </w:rPr>
        <w:t xml:space="preserve">APELURI – </w:t>
      </w:r>
      <w:r w:rsidRPr="00B06E02">
        <w:rPr>
          <w:color w:val="3B3838" w:themeColor="background2" w:themeShade="40"/>
          <w:sz w:val="18"/>
          <w:szCs w:val="18"/>
        </w:rPr>
        <w:t>Finanțări</w:t>
      </w:r>
      <w:bookmarkEnd w:id="139"/>
    </w:p>
    <w:p w14:paraId="053541C7" w14:textId="77777777" w:rsidR="0017074A" w:rsidRPr="00C04BEE" w:rsidRDefault="0017074A" w:rsidP="00C04BEE">
      <w:pPr>
        <w:pStyle w:val="TitluArticolinINFOUE"/>
        <w:rPr>
          <w:lang w:eastAsia="ro-RO"/>
        </w:rPr>
      </w:pPr>
      <w:bookmarkStart w:id="140" w:name="_Toc89334237"/>
      <w:r w:rsidRPr="00C04BEE">
        <w:t>PNDR: Evaluarea cererilor de finanțare depuse în cadrul submăsurilor pentru instalarea tinerilor fermieri și dezvoltarea fermelor mici a fost finalizată</w:t>
      </w:r>
      <w:bookmarkEnd w:id="140"/>
    </w:p>
    <w:p w14:paraId="67291548"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Agenția pentru Finanțarea Investițiilor Rurale a anunțat finalizarea evaluării cererilor de finanțare depuse în etapa 1 a sesiunii din 2021 (27 august 2021 – 26 septembrie 2021) pentru </w:t>
      </w:r>
      <w:r w:rsidRPr="00C04BEE">
        <w:rPr>
          <w:rStyle w:val="Strong"/>
          <w:color w:val="313131"/>
        </w:rPr>
        <w:t>submăsura 6.1</w:t>
      </w:r>
      <w:r w:rsidRPr="00C04BEE">
        <w:rPr>
          <w:rFonts w:ascii="Verdana" w:hAnsi="Verdana"/>
          <w:color w:val="313131"/>
          <w:sz w:val="18"/>
          <w:szCs w:val="18"/>
        </w:rPr>
        <w:t> „</w:t>
      </w:r>
      <w:r w:rsidRPr="00C04BEE">
        <w:rPr>
          <w:rStyle w:val="Emphasis"/>
          <w:color w:val="313131"/>
        </w:rPr>
        <w:t>Sprijin pentru instalarea tinerilor fermieri”</w:t>
      </w:r>
      <w:r w:rsidRPr="00C04BEE">
        <w:rPr>
          <w:rFonts w:ascii="Verdana" w:hAnsi="Verdana"/>
          <w:color w:val="313131"/>
          <w:sz w:val="18"/>
          <w:szCs w:val="18"/>
        </w:rPr>
        <w:t> și pentru </w:t>
      </w:r>
      <w:r w:rsidRPr="00C04BEE">
        <w:rPr>
          <w:rStyle w:val="Strong"/>
          <w:color w:val="313131"/>
        </w:rPr>
        <w:t>submăsura 6.3</w:t>
      </w:r>
      <w:r w:rsidRPr="00C04BEE">
        <w:rPr>
          <w:rFonts w:ascii="Verdana" w:hAnsi="Verdana"/>
          <w:color w:val="313131"/>
          <w:sz w:val="18"/>
          <w:szCs w:val="18"/>
        </w:rPr>
        <w:t> „</w:t>
      </w:r>
      <w:r w:rsidRPr="00C04BEE">
        <w:rPr>
          <w:rStyle w:val="Emphasis"/>
          <w:color w:val="313131"/>
        </w:rPr>
        <w:t>Sprijin pentru dezvoltarea fermelor mici”</w:t>
      </w:r>
      <w:r w:rsidRPr="00C04BEE">
        <w:rPr>
          <w:rFonts w:ascii="Verdana" w:hAnsi="Verdana"/>
          <w:color w:val="313131"/>
          <w:sz w:val="18"/>
          <w:szCs w:val="18"/>
        </w:rPr>
        <w:t>.</w:t>
      </w:r>
    </w:p>
    <w:p w14:paraId="2E224885"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Experții AFIR au început efectiv procesul de evaluare în data de 27 septembrie și au parcurs toate etapele necesare analizei tuturor cererilor fermierilor (verificare documente, efectuare vizite pe teren, verificare îndeplinire criterii de eligibilitate și a criteriilor de selecție) emițând </w:t>
      </w:r>
      <w:r w:rsidRPr="00C04BEE">
        <w:rPr>
          <w:rStyle w:val="Strong"/>
          <w:color w:val="313131"/>
        </w:rPr>
        <w:t>Rapoartele de selecție ale etapei 1</w:t>
      </w:r>
      <w:r w:rsidRPr="00C04BEE">
        <w:rPr>
          <w:rFonts w:ascii="Verdana" w:hAnsi="Verdana"/>
          <w:color w:val="313131"/>
          <w:sz w:val="18"/>
          <w:szCs w:val="18"/>
        </w:rPr>
        <w:t>, potrivit comunicatului oficial. Acestea au fost deja transmise Autorității de Management pentru Programul Național de Dezvoltare Rurală din cadrul Ministerului Agriculturii și Dezvoltării Rurale în vederea aprobării și, ulterior, pentru demararea procedurii de selecție pentru finanțarea proiectelor.</w:t>
      </w:r>
    </w:p>
    <w:p w14:paraId="7444D63A"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w:t>
      </w:r>
      <w:r w:rsidRPr="00C04BEE">
        <w:rPr>
          <w:rStyle w:val="Emphasis"/>
          <w:color w:val="313131"/>
        </w:rPr>
        <w:t xml:space="preserve">Dacă vom obține rapid aprobarea acestor rapoarte la nivelul Autorității de Management, vom putea </w:t>
      </w:r>
      <w:proofErr w:type="gramStart"/>
      <w:r w:rsidRPr="00C04BEE">
        <w:rPr>
          <w:rStyle w:val="Emphasis"/>
          <w:color w:val="313131"/>
        </w:rPr>
        <w:t>să</w:t>
      </w:r>
      <w:proofErr w:type="gramEnd"/>
      <w:r w:rsidRPr="00C04BEE">
        <w:rPr>
          <w:rStyle w:val="Emphasis"/>
          <w:color w:val="313131"/>
        </w:rPr>
        <w:t xml:space="preserve"> le publicăm în cel mai scurt timp, astfel încât să poată fi inițiată procedura de contractare, având ca obiectiv efectuarea primelor plăți către cât mai mulți fermieri până la finalul acestui an</w:t>
      </w:r>
      <w:r w:rsidRPr="00C04BEE">
        <w:rPr>
          <w:rFonts w:ascii="Verdana" w:hAnsi="Verdana"/>
          <w:color w:val="313131"/>
          <w:sz w:val="18"/>
          <w:szCs w:val="18"/>
        </w:rPr>
        <w:t>” a declarat Mihai Moraru, Directorul general al AFIR.</w:t>
      </w:r>
    </w:p>
    <w:p w14:paraId="0FDB6CF4"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Pentru submăsura 6.1, în etapa 1, au fost depuse 1.504 proiecte, în valoare de 71</w:t>
      </w:r>
      <w:proofErr w:type="gramStart"/>
      <w:r w:rsidRPr="00C04BEE">
        <w:rPr>
          <w:rFonts w:ascii="Verdana" w:hAnsi="Verdana"/>
          <w:color w:val="313131"/>
          <w:sz w:val="18"/>
          <w:szCs w:val="18"/>
        </w:rPr>
        <w:t>,8</w:t>
      </w:r>
      <w:proofErr w:type="gramEnd"/>
      <w:r w:rsidRPr="00C04BEE">
        <w:rPr>
          <w:rFonts w:ascii="Verdana" w:hAnsi="Verdana"/>
          <w:color w:val="313131"/>
          <w:sz w:val="18"/>
          <w:szCs w:val="18"/>
        </w:rPr>
        <w:t xml:space="preserve"> milioane de euro. Dintre acestea, 356 de proiecte, cu o valoare de 18</w:t>
      </w:r>
      <w:proofErr w:type="gramStart"/>
      <w:r w:rsidRPr="00C04BEE">
        <w:rPr>
          <w:rFonts w:ascii="Verdana" w:hAnsi="Verdana"/>
          <w:color w:val="313131"/>
          <w:sz w:val="18"/>
          <w:szCs w:val="18"/>
        </w:rPr>
        <w:t>,2</w:t>
      </w:r>
      <w:proofErr w:type="gramEnd"/>
      <w:r w:rsidRPr="00C04BEE">
        <w:rPr>
          <w:rFonts w:ascii="Verdana" w:hAnsi="Verdana"/>
          <w:color w:val="313131"/>
          <w:sz w:val="18"/>
          <w:szCs w:val="18"/>
        </w:rPr>
        <w:t xml:space="preserve"> milioane de euro, au fost depuse de către fermierii din zona montană.</w:t>
      </w:r>
    </w:p>
    <w:p w14:paraId="6FEF861C"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Pentru accesarea sprijinului acordat prin submăsura 6.3 au fost depuse 1.529 de proiecte, însumând o solicitare de fonduri pentru această etapă de aproape 23 de milioane de euro. Dintre acestea, 973 de cereri de finanțare cu o valoare totală de 14</w:t>
      </w:r>
      <w:proofErr w:type="gramStart"/>
      <w:r w:rsidRPr="00C04BEE">
        <w:rPr>
          <w:rFonts w:ascii="Verdana" w:hAnsi="Verdana"/>
          <w:color w:val="313131"/>
          <w:sz w:val="18"/>
          <w:szCs w:val="18"/>
        </w:rPr>
        <w:t>,6</w:t>
      </w:r>
      <w:proofErr w:type="gramEnd"/>
      <w:r w:rsidRPr="00C04BEE">
        <w:rPr>
          <w:rFonts w:ascii="Verdana" w:hAnsi="Verdana"/>
          <w:color w:val="313131"/>
          <w:sz w:val="18"/>
          <w:szCs w:val="18"/>
        </w:rPr>
        <w:t xml:space="preserve"> milioane de euro au fost depuse de solicitanți din zona montană.</w:t>
      </w:r>
    </w:p>
    <w:p w14:paraId="52F8C639" w14:textId="77777777" w:rsidR="0017074A" w:rsidRPr="00C04BEE" w:rsidRDefault="0017074A" w:rsidP="00C04BEE">
      <w:pPr>
        <w:pStyle w:val="Stilsursa"/>
      </w:pPr>
      <w:r w:rsidRPr="00C04BEE">
        <w:t>Sursa: AFIR</w:t>
      </w:r>
    </w:p>
    <w:p w14:paraId="713520CC" w14:textId="2CD961D5" w:rsidR="0017074A" w:rsidRPr="00C04BEE" w:rsidRDefault="0017074A" w:rsidP="00C04BEE">
      <w:pPr>
        <w:pStyle w:val="separatorarticole"/>
      </w:pPr>
      <w:r w:rsidRPr="00C04BEE">
        <w:t>*</w:t>
      </w:r>
    </w:p>
    <w:p w14:paraId="5C6ED806" w14:textId="77777777" w:rsidR="0017074A" w:rsidRPr="00C04BEE" w:rsidRDefault="0017074A" w:rsidP="00C04BEE">
      <w:pPr>
        <w:pStyle w:val="TitluArticolinINFOUE"/>
        <w:rPr>
          <w:lang w:eastAsia="ro-RO"/>
        </w:rPr>
      </w:pPr>
      <w:bookmarkStart w:id="141" w:name="_Toc89334238"/>
      <w:r w:rsidRPr="00C04BEE">
        <w:t>POCA: Două apeluri lansate pentru sprijinirea autorităților locale în fundamentarea deciziilor, planificare strategică și măsuri de simplificare pentru cetățeni</w:t>
      </w:r>
      <w:bookmarkEnd w:id="141"/>
    </w:p>
    <w:p w14:paraId="236255EB"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AM POCA a publicat astăzi, 24 noiembrie 2021, ghidurile solicitantului pentru CP 16/2021 - </w:t>
      </w:r>
      <w:r w:rsidRPr="00C04BEE">
        <w:rPr>
          <w:rStyle w:val="Emphasis"/>
          <w:b/>
          <w:bCs/>
          <w:color w:val="313131"/>
        </w:rPr>
        <w:t>Fundamentarea deciziilor, planificare strategică și măsuri de simplificare pentru cetățeni la nivelul administrației publice locale</w:t>
      </w:r>
      <w:r w:rsidRPr="00C04BEE">
        <w:rPr>
          <w:rFonts w:ascii="Verdana" w:hAnsi="Verdana"/>
          <w:color w:val="313131"/>
          <w:sz w:val="18"/>
          <w:szCs w:val="18"/>
        </w:rPr>
        <w:t xml:space="preserve"> din regiunea mai dezvoltată, respectiv din regiunile mai puțin </w:t>
      </w:r>
      <w:proofErr w:type="gramStart"/>
      <w:r w:rsidRPr="00C04BEE">
        <w:rPr>
          <w:rFonts w:ascii="Verdana" w:hAnsi="Verdana"/>
          <w:color w:val="313131"/>
          <w:sz w:val="18"/>
          <w:szCs w:val="18"/>
        </w:rPr>
        <w:t>dezvoltate.</w:t>
      </w:r>
      <w:proofErr w:type="gramEnd"/>
    </w:p>
    <w:p w14:paraId="0E86D5E4"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Style w:val="Strong"/>
          <w:color w:val="313131"/>
        </w:rPr>
        <w:t>Cererea de Proiecte 16/2021 – regiunea mai dezvoltată (București – Ilfov)</w:t>
      </w:r>
    </w:p>
    <w:p w14:paraId="65C8442C"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Pot solicita finanțare în cadrul acestui apel unităţi administrativ-teritoriale – județe (județul Ilfov) și municipii și subdiviziuni administrativ-teritoriale ale municipiilor (București și sectoarele municipiului Bucureşti) care nu au obținut finanțare în cadrul apelurilor CP4more/2017, CP6more/2017, CP10more/2018, CP12more/2018 și CP13more/2019 pe domeniile vizate de apel (Subsecțiunea 3.1: Informații despre cererea de proiecte), în conformitate cu anexei VII la acest ghid.</w:t>
      </w:r>
    </w:p>
    <w:p w14:paraId="4EEC3C9A"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Pot fi parteneri (asociați) în cadrul acestui apel:</w:t>
      </w:r>
    </w:p>
    <w:p w14:paraId="57DDBA02" w14:textId="77777777" w:rsidR="0017074A" w:rsidRPr="00C04BEE" w:rsidRDefault="0017074A" w:rsidP="00C04BEE">
      <w:pPr>
        <w:numPr>
          <w:ilvl w:val="0"/>
          <w:numId w:val="27"/>
        </w:numPr>
        <w:rPr>
          <w:color w:val="313131"/>
          <w:szCs w:val="18"/>
        </w:rPr>
      </w:pPr>
      <w:r w:rsidRPr="00C04BEE">
        <w:rPr>
          <w:color w:val="313131"/>
          <w:szCs w:val="18"/>
        </w:rPr>
        <w:lastRenderedPageBreak/>
        <w:t>municipii sau județe din regiunile mai puțin dezvoltate care îndeplinesc condițiile de eligibilitate stabilite pentru solicitanți,</w:t>
      </w:r>
    </w:p>
    <w:p w14:paraId="7035C54D" w14:textId="77777777" w:rsidR="0017074A" w:rsidRPr="00C04BEE" w:rsidRDefault="0017074A" w:rsidP="00C04BEE">
      <w:pPr>
        <w:numPr>
          <w:ilvl w:val="0"/>
          <w:numId w:val="27"/>
        </w:numPr>
        <w:rPr>
          <w:color w:val="313131"/>
          <w:szCs w:val="18"/>
        </w:rPr>
      </w:pPr>
      <w:r w:rsidRPr="00C04BEE">
        <w:rPr>
          <w:color w:val="313131"/>
          <w:szCs w:val="18"/>
        </w:rPr>
        <w:t>comune sau orașe vizate de Strategia Integrată de Dezvoltare Durabilă a Deltei Dunării,</w:t>
      </w:r>
    </w:p>
    <w:p w14:paraId="59DF0E5C" w14:textId="77777777" w:rsidR="0017074A" w:rsidRPr="00C04BEE" w:rsidRDefault="0017074A" w:rsidP="00C04BEE">
      <w:pPr>
        <w:numPr>
          <w:ilvl w:val="0"/>
          <w:numId w:val="27"/>
        </w:numPr>
        <w:rPr>
          <w:color w:val="313131"/>
          <w:szCs w:val="18"/>
        </w:rPr>
      </w:pPr>
      <w:r w:rsidRPr="00C04BEE">
        <w:rPr>
          <w:color w:val="313131"/>
          <w:szCs w:val="18"/>
        </w:rPr>
        <w:t>orice alte autorități/instituții publice locale (de la nivelul județelor și municipiilor din regiunile mai puțin dezvoltate) care pot contribui la buna implementare a proiectului,</w:t>
      </w:r>
    </w:p>
    <w:p w14:paraId="5D36D522" w14:textId="77777777" w:rsidR="0017074A" w:rsidRPr="00C04BEE" w:rsidRDefault="0017074A" w:rsidP="00C04BEE">
      <w:pPr>
        <w:numPr>
          <w:ilvl w:val="0"/>
          <w:numId w:val="27"/>
        </w:numPr>
        <w:rPr>
          <w:color w:val="313131"/>
          <w:szCs w:val="18"/>
        </w:rPr>
      </w:pPr>
      <w:r w:rsidRPr="00C04BEE">
        <w:rPr>
          <w:color w:val="313131"/>
          <w:szCs w:val="18"/>
        </w:rPr>
        <w:t>ONG-uri (cu excepția Grupurilor de acțiune locală),</w:t>
      </w:r>
    </w:p>
    <w:p w14:paraId="1B9B60E8" w14:textId="77777777" w:rsidR="0017074A" w:rsidRPr="00C04BEE" w:rsidRDefault="0017074A" w:rsidP="00C04BEE">
      <w:pPr>
        <w:numPr>
          <w:ilvl w:val="0"/>
          <w:numId w:val="27"/>
        </w:numPr>
        <w:rPr>
          <w:color w:val="313131"/>
          <w:szCs w:val="18"/>
        </w:rPr>
      </w:pPr>
      <w:r w:rsidRPr="00C04BEE">
        <w:rPr>
          <w:color w:val="313131"/>
          <w:szCs w:val="18"/>
        </w:rPr>
        <w:t>Asociații de dezvoltare intercomunitară,</w:t>
      </w:r>
    </w:p>
    <w:p w14:paraId="32E158CF" w14:textId="77777777" w:rsidR="0017074A" w:rsidRPr="00C04BEE" w:rsidRDefault="0017074A" w:rsidP="00C04BEE">
      <w:pPr>
        <w:numPr>
          <w:ilvl w:val="0"/>
          <w:numId w:val="27"/>
        </w:numPr>
        <w:rPr>
          <w:color w:val="313131"/>
          <w:szCs w:val="18"/>
        </w:rPr>
      </w:pPr>
      <w:r w:rsidRPr="00C04BEE">
        <w:rPr>
          <w:color w:val="313131"/>
          <w:szCs w:val="18"/>
        </w:rPr>
        <w:t>parteneri sociali (organizaţii sindicale, organizații patronale, precum și formele de asociere ale acestora cu personalitate juridică),</w:t>
      </w:r>
    </w:p>
    <w:p w14:paraId="0A18BD57" w14:textId="77777777" w:rsidR="0017074A" w:rsidRPr="00C04BEE" w:rsidRDefault="0017074A" w:rsidP="00C04BEE">
      <w:pPr>
        <w:numPr>
          <w:ilvl w:val="0"/>
          <w:numId w:val="27"/>
        </w:numPr>
        <w:rPr>
          <w:color w:val="313131"/>
          <w:szCs w:val="18"/>
        </w:rPr>
      </w:pPr>
      <w:r w:rsidRPr="00C04BEE">
        <w:rPr>
          <w:color w:val="313131"/>
          <w:szCs w:val="18"/>
        </w:rPr>
        <w:t>instituții de învățământ superior acreditate.</w:t>
      </w:r>
    </w:p>
    <w:p w14:paraId="722478A9"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Cererea de proiecte face parte din mecanismul competitiv și are o alocare financiară eligibilă orientativă de 20.000.000</w:t>
      </w:r>
      <w:proofErr w:type="gramStart"/>
      <w:r w:rsidRPr="00C04BEE">
        <w:rPr>
          <w:rFonts w:ascii="Verdana" w:hAnsi="Verdana"/>
          <w:color w:val="313131"/>
          <w:sz w:val="18"/>
          <w:szCs w:val="18"/>
        </w:rPr>
        <w:t>,00</w:t>
      </w:r>
      <w:proofErr w:type="gramEnd"/>
      <w:r w:rsidRPr="00C04BEE">
        <w:rPr>
          <w:rFonts w:ascii="Verdana" w:hAnsi="Verdana"/>
          <w:color w:val="313131"/>
          <w:sz w:val="18"/>
          <w:szCs w:val="18"/>
        </w:rPr>
        <w:t xml:space="preserve"> lei.</w:t>
      </w:r>
    </w:p>
    <w:p w14:paraId="7C35E539" w14:textId="77777777" w:rsidR="0017074A" w:rsidRPr="00C04BEE" w:rsidRDefault="0017074A" w:rsidP="00C04BEE">
      <w:pPr>
        <w:pStyle w:val="NormalWeb"/>
        <w:spacing w:before="120" w:beforeAutospacing="0" w:after="0" w:afterAutospacing="0"/>
        <w:rPr>
          <w:rFonts w:ascii="Verdana" w:hAnsi="Verdana"/>
          <w:color w:val="313131"/>
          <w:sz w:val="18"/>
          <w:szCs w:val="18"/>
        </w:rPr>
      </w:pPr>
      <w:hyperlink r:id="rId24" w:tgtFrame="_blank" w:history="1">
        <w:r w:rsidRPr="00C04BEE">
          <w:rPr>
            <w:rStyle w:val="Emphasis"/>
            <w:b/>
            <w:bCs/>
            <w:color w:val="0000FF"/>
            <w:u w:val="single"/>
          </w:rPr>
          <w:t>Descarcă</w:t>
        </w:r>
      </w:hyperlink>
      <w:r w:rsidRPr="00C04BEE">
        <w:rPr>
          <w:rFonts w:ascii="Verdana" w:hAnsi="Verdana"/>
          <w:color w:val="313131"/>
          <w:sz w:val="18"/>
          <w:szCs w:val="18"/>
        </w:rPr>
        <w:t> ghidul</w:t>
      </w:r>
    </w:p>
    <w:p w14:paraId="3AA7C966"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Style w:val="Strong"/>
          <w:color w:val="313131"/>
        </w:rPr>
        <w:t>Cererea de Proiecte 16/2021 – regiuni mai puțin dezvoltate</w:t>
      </w:r>
    </w:p>
    <w:p w14:paraId="51E6141D"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Solicitanți în cadrul acestui apel pot fi:</w:t>
      </w:r>
    </w:p>
    <w:p w14:paraId="029E7002" w14:textId="77777777" w:rsidR="0017074A" w:rsidRPr="00C04BEE" w:rsidRDefault="0017074A" w:rsidP="00C04BEE">
      <w:pPr>
        <w:numPr>
          <w:ilvl w:val="0"/>
          <w:numId w:val="28"/>
        </w:numPr>
        <w:rPr>
          <w:color w:val="313131"/>
          <w:szCs w:val="18"/>
        </w:rPr>
      </w:pPr>
      <w:r w:rsidRPr="00C04BEE">
        <w:rPr>
          <w:color w:val="313131"/>
          <w:szCs w:val="18"/>
        </w:rPr>
        <w:t>municipiile și județele din regiunile mai puțin dezvoltate care nu au obținut finanțare în cadrul apelurilor CP4less/2017, CP6less/2017, CP10less/2018, CP12less/2018 și CP13less/2019 pe domeniile vizate de apel (vezi Subsecțiunea 3.1: Informații despre cererea de proiecte), în conformitate cu anexa VII la acest ghid.</w:t>
      </w:r>
    </w:p>
    <w:p w14:paraId="133BBD8B" w14:textId="77777777" w:rsidR="0017074A" w:rsidRPr="00C04BEE" w:rsidRDefault="0017074A" w:rsidP="00C04BEE">
      <w:pPr>
        <w:numPr>
          <w:ilvl w:val="0"/>
          <w:numId w:val="28"/>
        </w:numPr>
        <w:rPr>
          <w:color w:val="313131"/>
          <w:szCs w:val="18"/>
        </w:rPr>
      </w:pPr>
      <w:r w:rsidRPr="00C04BEE">
        <w:rPr>
          <w:color w:val="313131"/>
          <w:szCs w:val="18"/>
        </w:rPr>
        <w:t>unităţile administrativ-teritoriale vizate[1] de Strategia Integrată de Dezvoltare Durabilă a Deltei Dunării, respectiv:</w:t>
      </w:r>
    </w:p>
    <w:p w14:paraId="75E3358B" w14:textId="77777777" w:rsidR="0017074A" w:rsidRPr="00C04BEE" w:rsidRDefault="0017074A" w:rsidP="00C04BEE">
      <w:pPr>
        <w:numPr>
          <w:ilvl w:val="1"/>
          <w:numId w:val="28"/>
        </w:numPr>
        <w:rPr>
          <w:color w:val="313131"/>
          <w:szCs w:val="18"/>
        </w:rPr>
      </w:pPr>
      <w:r w:rsidRPr="00C04BEE">
        <w:rPr>
          <w:color w:val="313131"/>
          <w:szCs w:val="18"/>
        </w:rPr>
        <w:t>Județul Tulcea,</w:t>
      </w:r>
    </w:p>
    <w:p w14:paraId="288A013F" w14:textId="77777777" w:rsidR="0017074A" w:rsidRPr="00C04BEE" w:rsidRDefault="0017074A" w:rsidP="00C04BEE">
      <w:pPr>
        <w:numPr>
          <w:ilvl w:val="1"/>
          <w:numId w:val="28"/>
        </w:numPr>
        <w:rPr>
          <w:color w:val="313131"/>
          <w:szCs w:val="18"/>
        </w:rPr>
      </w:pPr>
      <w:r w:rsidRPr="00C04BEE">
        <w:rPr>
          <w:color w:val="313131"/>
          <w:szCs w:val="18"/>
        </w:rPr>
        <w:t>Județul Constanța,</w:t>
      </w:r>
    </w:p>
    <w:p w14:paraId="515E8927" w14:textId="77777777" w:rsidR="0017074A" w:rsidRPr="00C04BEE" w:rsidRDefault="0017074A" w:rsidP="00C04BEE">
      <w:pPr>
        <w:numPr>
          <w:ilvl w:val="1"/>
          <w:numId w:val="28"/>
        </w:numPr>
        <w:rPr>
          <w:color w:val="313131"/>
          <w:szCs w:val="18"/>
        </w:rPr>
      </w:pPr>
      <w:r w:rsidRPr="00C04BEE">
        <w:rPr>
          <w:color w:val="313131"/>
          <w:szCs w:val="18"/>
        </w:rPr>
        <w:t>Orașele: Babadag, Isaccea, Măcin, Sulina, municipiul Tulcea,</w:t>
      </w:r>
    </w:p>
    <w:p w14:paraId="32C09102" w14:textId="77777777" w:rsidR="0017074A" w:rsidRPr="00C04BEE" w:rsidRDefault="0017074A" w:rsidP="00C04BEE">
      <w:pPr>
        <w:numPr>
          <w:ilvl w:val="1"/>
          <w:numId w:val="28"/>
        </w:numPr>
        <w:rPr>
          <w:color w:val="313131"/>
          <w:szCs w:val="18"/>
        </w:rPr>
      </w:pPr>
      <w:r w:rsidRPr="00C04BEE">
        <w:rPr>
          <w:color w:val="313131"/>
          <w:szCs w:val="18"/>
        </w:rPr>
        <w:t>comunele din județul Tulcea: Baia, Beștepe, C.A. Rosetti, Ceamurlia de Jos, Ceatalchioi, Chilia Veche, Crișan, Frecăței, Greci, Grindu, I.C. Brătianu, Jijila, Jurilovca, Luncavița, Mihail Kogălniceanu, Mahmudia, Maliuc, Mihai Bravu, Murighiol, Niculițel, Nufăru, Pardina, Sarichioi, Sfântu Gheorghe, Slava Cercheză, Smârdan, Somova, Văcăreni, Valea Nucarilor,</w:t>
      </w:r>
    </w:p>
    <w:p w14:paraId="2087CC86" w14:textId="77777777" w:rsidR="0017074A" w:rsidRPr="00C04BEE" w:rsidRDefault="0017074A" w:rsidP="00C04BEE">
      <w:pPr>
        <w:numPr>
          <w:ilvl w:val="1"/>
          <w:numId w:val="28"/>
        </w:numPr>
        <w:rPr>
          <w:color w:val="313131"/>
          <w:szCs w:val="18"/>
        </w:rPr>
      </w:pPr>
      <w:r w:rsidRPr="00C04BEE">
        <w:rPr>
          <w:color w:val="313131"/>
          <w:szCs w:val="18"/>
        </w:rPr>
        <w:t>comunele din județul Constanța: Corbu, Istria, Mihai Viteazu, Săcele.</w:t>
      </w:r>
    </w:p>
    <w:p w14:paraId="14BDFF82"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Pentru județul Tulcea, județul Constanța si municipiul Tulcea vizate de SIDD se aplică același reguli de eligibilitate ca pentru restul județelor și municipiilor din regiunea mai dezvoltată, respectiv să nu fi obținut finanțare în cadrul apelurilor CP4less/2017, CP6less/2017, CP10less/2018, CP12less/2018 și CP13less/2019 pentru domeniile vizate de apel (Subsecțiunea 3.1: Informații despre cererea de proiecte), în conformitate cu anexa VII la acest ghid.</w:t>
      </w:r>
    </w:p>
    <w:p w14:paraId="57FFD4FF"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Pot fi parteneri (asociați) în cadrul acestui apel:</w:t>
      </w:r>
    </w:p>
    <w:p w14:paraId="0C9B3260" w14:textId="77777777" w:rsidR="0017074A" w:rsidRPr="00C04BEE" w:rsidRDefault="0017074A" w:rsidP="00C04BEE">
      <w:pPr>
        <w:numPr>
          <w:ilvl w:val="0"/>
          <w:numId w:val="29"/>
        </w:numPr>
        <w:rPr>
          <w:color w:val="313131"/>
          <w:szCs w:val="18"/>
        </w:rPr>
      </w:pPr>
      <w:r w:rsidRPr="00C04BEE">
        <w:rPr>
          <w:color w:val="313131"/>
          <w:szCs w:val="18"/>
        </w:rPr>
        <w:t>municipii sau județe din regiunile mai puțin dezvoltate care îndeplinesc condițiile de eligibilitate stabilite pentru solicitanți,</w:t>
      </w:r>
    </w:p>
    <w:p w14:paraId="38E84A64" w14:textId="77777777" w:rsidR="0017074A" w:rsidRPr="00C04BEE" w:rsidRDefault="0017074A" w:rsidP="00C04BEE">
      <w:pPr>
        <w:numPr>
          <w:ilvl w:val="0"/>
          <w:numId w:val="29"/>
        </w:numPr>
        <w:rPr>
          <w:color w:val="313131"/>
          <w:szCs w:val="18"/>
        </w:rPr>
      </w:pPr>
      <w:r w:rsidRPr="00C04BEE">
        <w:rPr>
          <w:color w:val="313131"/>
          <w:szCs w:val="18"/>
        </w:rPr>
        <w:t>comune sau orașe vizate de Strategia Integrată de Dezvoltare Durabilă a Deltei Dunării,</w:t>
      </w:r>
    </w:p>
    <w:p w14:paraId="427ABD0A" w14:textId="77777777" w:rsidR="0017074A" w:rsidRPr="00C04BEE" w:rsidRDefault="0017074A" w:rsidP="00C04BEE">
      <w:pPr>
        <w:numPr>
          <w:ilvl w:val="0"/>
          <w:numId w:val="29"/>
        </w:numPr>
        <w:rPr>
          <w:color w:val="313131"/>
          <w:szCs w:val="18"/>
        </w:rPr>
      </w:pPr>
      <w:r w:rsidRPr="00C04BEE">
        <w:rPr>
          <w:color w:val="313131"/>
          <w:szCs w:val="18"/>
        </w:rPr>
        <w:t>orice alte autorități/instituții publice locale (de la nivelul județelor și municipiilor din regiunile mai puțin dezvoltate) care pot contribui la buna implementare a proiectului,</w:t>
      </w:r>
    </w:p>
    <w:p w14:paraId="79B2F2E2" w14:textId="77777777" w:rsidR="0017074A" w:rsidRPr="00C04BEE" w:rsidRDefault="0017074A" w:rsidP="00C04BEE">
      <w:pPr>
        <w:numPr>
          <w:ilvl w:val="0"/>
          <w:numId w:val="29"/>
        </w:numPr>
        <w:rPr>
          <w:color w:val="313131"/>
          <w:szCs w:val="18"/>
        </w:rPr>
      </w:pPr>
      <w:r w:rsidRPr="00C04BEE">
        <w:rPr>
          <w:color w:val="313131"/>
          <w:szCs w:val="18"/>
        </w:rPr>
        <w:t>ONG-uri (cu excepția Grupurilor de acțiune locală),</w:t>
      </w:r>
    </w:p>
    <w:p w14:paraId="611CC887" w14:textId="77777777" w:rsidR="0017074A" w:rsidRPr="00C04BEE" w:rsidRDefault="0017074A" w:rsidP="00C04BEE">
      <w:pPr>
        <w:numPr>
          <w:ilvl w:val="0"/>
          <w:numId w:val="29"/>
        </w:numPr>
        <w:rPr>
          <w:color w:val="313131"/>
          <w:szCs w:val="18"/>
        </w:rPr>
      </w:pPr>
      <w:r w:rsidRPr="00C04BEE">
        <w:rPr>
          <w:color w:val="313131"/>
          <w:szCs w:val="18"/>
        </w:rPr>
        <w:t>Asociații de dezvoltare intercomunitară,</w:t>
      </w:r>
    </w:p>
    <w:p w14:paraId="2845C9C5" w14:textId="77777777" w:rsidR="0017074A" w:rsidRPr="00C04BEE" w:rsidRDefault="0017074A" w:rsidP="00C04BEE">
      <w:pPr>
        <w:numPr>
          <w:ilvl w:val="0"/>
          <w:numId w:val="29"/>
        </w:numPr>
        <w:rPr>
          <w:color w:val="313131"/>
          <w:szCs w:val="18"/>
        </w:rPr>
      </w:pPr>
      <w:r w:rsidRPr="00C04BEE">
        <w:rPr>
          <w:color w:val="313131"/>
          <w:szCs w:val="18"/>
        </w:rPr>
        <w:lastRenderedPageBreak/>
        <w:t>parteneri sociali (organizaţii sindicale, organizații patronale, precum și formele de asociere ale acestora cu personalitate juridică),</w:t>
      </w:r>
    </w:p>
    <w:p w14:paraId="185A6588" w14:textId="77777777" w:rsidR="0017074A" w:rsidRPr="00C04BEE" w:rsidRDefault="0017074A" w:rsidP="00C04BEE">
      <w:pPr>
        <w:numPr>
          <w:ilvl w:val="0"/>
          <w:numId w:val="29"/>
        </w:numPr>
        <w:rPr>
          <w:color w:val="313131"/>
          <w:szCs w:val="18"/>
        </w:rPr>
      </w:pPr>
      <w:r w:rsidRPr="00C04BEE">
        <w:rPr>
          <w:color w:val="313131"/>
          <w:szCs w:val="18"/>
        </w:rPr>
        <w:t>instituții de învățământ superior acreditate.</w:t>
      </w:r>
    </w:p>
    <w:p w14:paraId="5EF5D983"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Cererea de proiecte este cu termen limită de depunere, face parte din mecanismul competitiv și are o alocare financiară eligibilă orientativă de 80.000.000</w:t>
      </w:r>
      <w:proofErr w:type="gramStart"/>
      <w:r w:rsidRPr="00C04BEE">
        <w:rPr>
          <w:rFonts w:ascii="Verdana" w:hAnsi="Verdana"/>
          <w:color w:val="313131"/>
          <w:sz w:val="18"/>
          <w:szCs w:val="18"/>
        </w:rPr>
        <w:t>,00</w:t>
      </w:r>
      <w:proofErr w:type="gramEnd"/>
      <w:r w:rsidRPr="00C04BEE">
        <w:rPr>
          <w:rFonts w:ascii="Verdana" w:hAnsi="Verdana"/>
          <w:color w:val="313131"/>
          <w:sz w:val="18"/>
          <w:szCs w:val="18"/>
        </w:rPr>
        <w:t xml:space="preserve"> lei.</w:t>
      </w:r>
    </w:p>
    <w:p w14:paraId="18A65EE5" w14:textId="77777777" w:rsidR="0017074A" w:rsidRPr="00C04BEE" w:rsidRDefault="0017074A" w:rsidP="00C04BEE">
      <w:pPr>
        <w:pStyle w:val="NormalWeb"/>
        <w:spacing w:before="120" w:beforeAutospacing="0" w:after="0" w:afterAutospacing="0"/>
        <w:rPr>
          <w:rFonts w:ascii="Verdana" w:hAnsi="Verdana"/>
          <w:color w:val="313131"/>
          <w:sz w:val="18"/>
          <w:szCs w:val="18"/>
        </w:rPr>
      </w:pPr>
      <w:hyperlink r:id="rId25" w:tgtFrame="_blank" w:history="1">
        <w:r w:rsidRPr="00C04BEE">
          <w:rPr>
            <w:rStyle w:val="Emphasis"/>
            <w:b/>
            <w:bCs/>
            <w:color w:val="0000FF"/>
            <w:u w:val="single"/>
          </w:rPr>
          <w:t>Descarcă</w:t>
        </w:r>
      </w:hyperlink>
      <w:r w:rsidRPr="00C04BEE">
        <w:rPr>
          <w:rFonts w:ascii="Verdana" w:hAnsi="Verdana"/>
          <w:color w:val="313131"/>
          <w:sz w:val="18"/>
          <w:szCs w:val="18"/>
        </w:rPr>
        <w:t> ghidul</w:t>
      </w:r>
    </w:p>
    <w:p w14:paraId="419324AC" w14:textId="77777777" w:rsidR="0017074A" w:rsidRPr="00C04BEE" w:rsidRDefault="0017074A"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Cererile de finanțare se vor depune, exclusiv prin aplicația MySMIS2014, până la data de </w:t>
      </w:r>
      <w:r w:rsidRPr="00C04BEE">
        <w:rPr>
          <w:rStyle w:val="Strong"/>
          <w:color w:val="313131"/>
        </w:rPr>
        <w:t>11 februarie 2022, ora 23.59</w:t>
      </w:r>
      <w:r w:rsidRPr="00C04BEE">
        <w:rPr>
          <w:rFonts w:ascii="Verdana" w:hAnsi="Verdana"/>
          <w:color w:val="313131"/>
          <w:sz w:val="18"/>
          <w:szCs w:val="18"/>
        </w:rPr>
        <w:t>.</w:t>
      </w:r>
    </w:p>
    <w:p w14:paraId="3E7A98B8" w14:textId="77777777" w:rsidR="0017074A" w:rsidRPr="00C04BEE" w:rsidRDefault="0017074A" w:rsidP="00C04BEE">
      <w:pPr>
        <w:pStyle w:val="Stilsursa"/>
      </w:pPr>
      <w:r w:rsidRPr="00C04BEE">
        <w:t>Sursa: POCA</w:t>
      </w:r>
    </w:p>
    <w:p w14:paraId="07CD3C88" w14:textId="0041A3CA" w:rsidR="0017074A" w:rsidRPr="00C04BEE" w:rsidRDefault="0017074A" w:rsidP="00C04BEE">
      <w:pPr>
        <w:pStyle w:val="separatorarticole"/>
      </w:pPr>
      <w:r w:rsidRPr="00C04BEE">
        <w:t>*</w:t>
      </w:r>
    </w:p>
    <w:p w14:paraId="777D2DEC" w14:textId="77777777" w:rsidR="00AA00F2" w:rsidRPr="00C04BEE" w:rsidRDefault="00AA00F2" w:rsidP="00D5025E">
      <w:pPr>
        <w:pStyle w:val="TitluArticolinINFOUE"/>
        <w:rPr>
          <w:lang w:eastAsia="ro-RO"/>
        </w:rPr>
      </w:pPr>
      <w:bookmarkStart w:id="142" w:name="_Toc89334239"/>
      <w:r w:rsidRPr="00C04BEE">
        <w:t>Schema de ajutor de stat care stă la baza lansării Acțiunii 4.1.1 - „Investiții în activități productive” a fost publicată în Monitorul Oficial!</w:t>
      </w:r>
      <w:bookmarkEnd w:id="142"/>
    </w:p>
    <w:p w14:paraId="1857C001"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În cursul zilei de ieri, 22 noiembrie 2021, a fost publicat în Monitorul Oficial Ordinul pentru aprobarea Schemei de ajutor de stat – Sprijin pentru IMM-uri în vederea depășirii crizei economice generate de pandemia Covid-19 – investiții productive.</w:t>
      </w:r>
    </w:p>
    <w:p w14:paraId="796DB735"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Criteriile de selecție prevăzute în ordin au rămas aceleași precum cele care se regăsesc în </w:t>
      </w:r>
      <w:hyperlink r:id="rId26" w:tgtFrame="_blank" w:history="1">
        <w:r w:rsidRPr="00C04BEE">
          <w:rPr>
            <w:rStyle w:val="Hyperlink"/>
          </w:rPr>
          <w:t>varianta lansată în consultare publică</w:t>
        </w:r>
      </w:hyperlink>
      <w:r w:rsidRPr="00C04BEE">
        <w:rPr>
          <w:rFonts w:ascii="Verdana" w:hAnsi="Verdana"/>
          <w:color w:val="313131"/>
          <w:sz w:val="18"/>
          <w:szCs w:val="18"/>
        </w:rPr>
        <w:t xml:space="preserve"> a Ghidului Solicitatului în </w:t>
      </w:r>
      <w:proofErr w:type="gramStart"/>
      <w:r w:rsidRPr="00C04BEE">
        <w:rPr>
          <w:rFonts w:ascii="Verdana" w:hAnsi="Verdana"/>
          <w:color w:val="313131"/>
          <w:sz w:val="18"/>
          <w:szCs w:val="18"/>
        </w:rPr>
        <w:t>luna</w:t>
      </w:r>
      <w:proofErr w:type="gramEnd"/>
      <w:r w:rsidRPr="00C04BEE">
        <w:rPr>
          <w:rFonts w:ascii="Verdana" w:hAnsi="Verdana"/>
          <w:color w:val="313131"/>
          <w:sz w:val="18"/>
          <w:szCs w:val="18"/>
        </w:rPr>
        <w:t xml:space="preserve"> septembrie, respectiv:</w:t>
      </w:r>
    </w:p>
    <w:p w14:paraId="011A6C16" w14:textId="77777777" w:rsidR="00AA00F2" w:rsidRPr="00C04BEE" w:rsidRDefault="00AA00F2" w:rsidP="00C04BEE">
      <w:pPr>
        <w:numPr>
          <w:ilvl w:val="0"/>
          <w:numId w:val="25"/>
        </w:numPr>
        <w:rPr>
          <w:color w:val="313131"/>
          <w:szCs w:val="18"/>
        </w:rPr>
      </w:pPr>
      <w:r w:rsidRPr="00C04BEE">
        <w:rPr>
          <w:rStyle w:val="Strong"/>
          <w:color w:val="313131"/>
        </w:rPr>
        <w:t>scăderea cifrei de afaceri</w:t>
      </w:r>
      <w:r w:rsidRPr="00C04BEE">
        <w:rPr>
          <w:color w:val="313131"/>
          <w:szCs w:val="18"/>
        </w:rPr>
        <w:t> la 31.12.2020 față de 31.12.2019 – punctaj maxim 40 de puncte pentru o scădere de cel puțin 30%;</w:t>
      </w:r>
    </w:p>
    <w:p w14:paraId="6DB136F8" w14:textId="77777777" w:rsidR="00AA00F2" w:rsidRPr="00C04BEE" w:rsidRDefault="00AA00F2" w:rsidP="00C04BEE">
      <w:pPr>
        <w:numPr>
          <w:ilvl w:val="0"/>
          <w:numId w:val="25"/>
        </w:numPr>
        <w:rPr>
          <w:color w:val="313131"/>
          <w:szCs w:val="18"/>
        </w:rPr>
      </w:pPr>
      <w:r w:rsidRPr="00C04BEE">
        <w:rPr>
          <w:color w:val="313131"/>
          <w:szCs w:val="18"/>
        </w:rPr>
        <w:t>investiție de minimum 20% din valoarea proiectului trebuie să contribuie în mod substanțial la atenuarea schimbărilor climatice sau adaptarea la schimbările climatice – punctaj maxim 40 de puncte pentru alocarea a minimum </w:t>
      </w:r>
      <w:r w:rsidRPr="00C04BEE">
        <w:rPr>
          <w:rStyle w:val="Strong"/>
          <w:color w:val="313131"/>
        </w:rPr>
        <w:t>90% din valoarea proiectului</w:t>
      </w:r>
      <w:r w:rsidRPr="00C04BEE">
        <w:rPr>
          <w:color w:val="313131"/>
          <w:szCs w:val="18"/>
        </w:rPr>
        <w:t>;</w:t>
      </w:r>
    </w:p>
    <w:p w14:paraId="4296C407" w14:textId="77777777" w:rsidR="00AA00F2" w:rsidRPr="00C04BEE" w:rsidRDefault="00AA00F2" w:rsidP="00C04BEE">
      <w:pPr>
        <w:numPr>
          <w:ilvl w:val="0"/>
          <w:numId w:val="25"/>
        </w:numPr>
        <w:rPr>
          <w:color w:val="313131"/>
          <w:szCs w:val="18"/>
        </w:rPr>
      </w:pPr>
      <w:r w:rsidRPr="00C04BEE">
        <w:rPr>
          <w:color w:val="313131"/>
          <w:szCs w:val="18"/>
        </w:rPr>
        <w:t>investiția este realizată pe codul CAEN aferent soldului negativ al balanței comerciale a României – punctaj maxim 5 puncte;</w:t>
      </w:r>
    </w:p>
    <w:p w14:paraId="2CEB1031" w14:textId="77777777" w:rsidR="00AA00F2" w:rsidRPr="00C04BEE" w:rsidRDefault="00AA00F2" w:rsidP="00C04BEE">
      <w:pPr>
        <w:numPr>
          <w:ilvl w:val="0"/>
          <w:numId w:val="25"/>
        </w:numPr>
        <w:rPr>
          <w:color w:val="313131"/>
          <w:szCs w:val="18"/>
        </w:rPr>
      </w:pPr>
      <w:r w:rsidRPr="00C04BEE">
        <w:rPr>
          <w:color w:val="313131"/>
          <w:szCs w:val="18"/>
        </w:rPr>
        <w:t>proiectul propune un </w:t>
      </w:r>
      <w:r w:rsidRPr="00C04BEE">
        <w:rPr>
          <w:rStyle w:val="Strong"/>
          <w:color w:val="313131"/>
        </w:rPr>
        <w:t>produs/proces inovativ</w:t>
      </w:r>
      <w:r w:rsidRPr="00C04BEE">
        <w:rPr>
          <w:color w:val="313131"/>
          <w:szCs w:val="18"/>
        </w:rPr>
        <w:t> – punctaj maxim 5 puncte;</w:t>
      </w:r>
    </w:p>
    <w:p w14:paraId="50D904DC" w14:textId="77777777" w:rsidR="00AA00F2" w:rsidRPr="00C04BEE" w:rsidRDefault="00AA00F2" w:rsidP="00C04BEE">
      <w:pPr>
        <w:numPr>
          <w:ilvl w:val="0"/>
          <w:numId w:val="25"/>
        </w:numPr>
        <w:rPr>
          <w:color w:val="313131"/>
          <w:szCs w:val="18"/>
        </w:rPr>
      </w:pPr>
      <w:r w:rsidRPr="00C04BEE">
        <w:rPr>
          <w:rStyle w:val="Strong"/>
          <w:color w:val="313131"/>
        </w:rPr>
        <w:t>creșterea productivității muncii</w:t>
      </w:r>
      <w:r w:rsidRPr="00C04BEE">
        <w:rPr>
          <w:color w:val="313131"/>
          <w:szCs w:val="18"/>
        </w:rPr>
        <w:t> în anul 3 de sustenabilitate  - punctaj maxim - 10 puncte.</w:t>
      </w:r>
    </w:p>
    <w:p w14:paraId="309C5CB1"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xml:space="preserve">Cererea de finanțare se </w:t>
      </w:r>
      <w:proofErr w:type="gramStart"/>
      <w:r w:rsidRPr="00C04BEE">
        <w:rPr>
          <w:rFonts w:ascii="Verdana" w:hAnsi="Verdana"/>
          <w:color w:val="313131"/>
          <w:sz w:val="18"/>
          <w:szCs w:val="18"/>
        </w:rPr>
        <w:t>va</w:t>
      </w:r>
      <w:proofErr w:type="gramEnd"/>
      <w:r w:rsidRPr="00C04BEE">
        <w:rPr>
          <w:rFonts w:ascii="Verdana" w:hAnsi="Verdana"/>
          <w:color w:val="313131"/>
          <w:sz w:val="18"/>
          <w:szCs w:val="18"/>
        </w:rPr>
        <w:t xml:space="preserve"> depune în platforma electronică MySMIS. Acordarea finanțării se </w:t>
      </w:r>
      <w:proofErr w:type="gramStart"/>
      <w:r w:rsidRPr="00C04BEE">
        <w:rPr>
          <w:rFonts w:ascii="Verdana" w:hAnsi="Verdana"/>
          <w:color w:val="313131"/>
          <w:sz w:val="18"/>
          <w:szCs w:val="18"/>
        </w:rPr>
        <w:t>va</w:t>
      </w:r>
      <w:proofErr w:type="gramEnd"/>
      <w:r w:rsidRPr="00C04BEE">
        <w:rPr>
          <w:rFonts w:ascii="Verdana" w:hAnsi="Verdana"/>
          <w:color w:val="313131"/>
          <w:sz w:val="18"/>
          <w:szCs w:val="18"/>
        </w:rPr>
        <w:t xml:space="preserve"> face </w:t>
      </w:r>
      <w:r w:rsidRPr="00C04BEE">
        <w:rPr>
          <w:rStyle w:val="Strong"/>
          <w:color w:val="313131"/>
        </w:rPr>
        <w:t>în ordinea depunerii proiectelor</w:t>
      </w:r>
      <w:r w:rsidRPr="00C04BEE">
        <w:rPr>
          <w:rFonts w:ascii="Verdana" w:hAnsi="Verdana"/>
          <w:color w:val="313131"/>
          <w:sz w:val="18"/>
          <w:szCs w:val="18"/>
        </w:rPr>
        <w:t> pentru proiectele care întrunesc un punctaj de minimum 70 de puncte până la epuizarea bugetului.</w:t>
      </w:r>
    </w:p>
    <w:p w14:paraId="799CB3EF" w14:textId="77777777" w:rsidR="00AA00F2" w:rsidRPr="00C04BEE" w:rsidRDefault="00AA00F2" w:rsidP="00C04BEE">
      <w:pPr>
        <w:pStyle w:val="NormalWeb"/>
        <w:spacing w:before="120" w:beforeAutospacing="0" w:after="0" w:afterAutospacing="0"/>
        <w:rPr>
          <w:rFonts w:ascii="Verdana" w:hAnsi="Verdana"/>
          <w:color w:val="313131"/>
          <w:sz w:val="18"/>
          <w:szCs w:val="18"/>
        </w:rPr>
      </w:pPr>
      <w:hyperlink r:id="rId27" w:tgtFrame="_blank" w:history="1">
        <w:r w:rsidRPr="00C04BEE">
          <w:rPr>
            <w:rStyle w:val="Emphasis"/>
            <w:b/>
            <w:bCs/>
            <w:color w:val="0000FF"/>
            <w:u w:val="single"/>
          </w:rPr>
          <w:t>Descarcă</w:t>
        </w:r>
      </w:hyperlink>
      <w:r w:rsidRPr="00C04BEE">
        <w:rPr>
          <w:rFonts w:ascii="Verdana" w:hAnsi="Verdana"/>
          <w:color w:val="313131"/>
          <w:sz w:val="18"/>
          <w:szCs w:val="18"/>
        </w:rPr>
        <w:t> Ordinul (Partea I, nr. 1111, luni, 22 noiembrie 2021, pg. 12-16)</w:t>
      </w:r>
    </w:p>
    <w:p w14:paraId="74ABCE87" w14:textId="1605D158" w:rsidR="00AA00F2" w:rsidRPr="00D5025E" w:rsidRDefault="00D5025E" w:rsidP="00D5025E">
      <w:pPr>
        <w:pStyle w:val="Stilsursa"/>
      </w:pPr>
      <w:r w:rsidRPr="00D5025E">
        <w:t xml:space="preserve">Sursa: </w:t>
      </w:r>
      <w:hyperlink r:id="rId28" w:tgtFrame="_blank" w:history="1">
        <w:r w:rsidR="00AA00F2" w:rsidRPr="00D5025E">
          <w:rPr>
            <w:rStyle w:val="Hyperlink"/>
            <w:sz w:val="14"/>
            <w:szCs w:val="24"/>
            <w:u w:val="none"/>
          </w:rPr>
          <w:t>www.fonduri-structurale.ro</w:t>
        </w:r>
      </w:hyperlink>
    </w:p>
    <w:p w14:paraId="533582EE" w14:textId="7E1F06AD" w:rsidR="00AA00F2" w:rsidRPr="00C04BEE" w:rsidRDefault="00AA00F2" w:rsidP="00D5025E">
      <w:pPr>
        <w:pStyle w:val="separatorarticole"/>
      </w:pPr>
      <w:r w:rsidRPr="00C04BEE">
        <w:t>*</w:t>
      </w:r>
    </w:p>
    <w:p w14:paraId="5447F3EC" w14:textId="77777777" w:rsidR="00AA00F2" w:rsidRPr="00C04BEE" w:rsidRDefault="00AA00F2" w:rsidP="00D5025E">
      <w:pPr>
        <w:pStyle w:val="TitluArticolinINFOUE"/>
        <w:rPr>
          <w:lang w:eastAsia="ro-RO"/>
        </w:rPr>
      </w:pPr>
      <w:bookmarkStart w:id="143" w:name="_Toc89334240"/>
      <w:r w:rsidRPr="00C04BEE">
        <w:t>Acțiunile Marie Skłodowska-Curie: Finanțare pentru organizații pentru programe doctorale și postdoctorale noi sau existente</w:t>
      </w:r>
      <w:bookmarkEnd w:id="143"/>
    </w:p>
    <w:p w14:paraId="6765902E"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Comisia Europeană a anunțat cererea de propuneri dedicată organizațiilor din statele membre ale UE sau din țările asociate la programul Orizont Europa pentru </w:t>
      </w:r>
      <w:r w:rsidRPr="00C04BEE">
        <w:rPr>
          <w:rStyle w:val="Strong"/>
          <w:color w:val="313131"/>
        </w:rPr>
        <w:t>programe doctorale și postdoctorale</w:t>
      </w:r>
      <w:r w:rsidRPr="00C04BEE">
        <w:rPr>
          <w:rFonts w:ascii="Verdana" w:hAnsi="Verdana"/>
          <w:color w:val="313131"/>
          <w:sz w:val="18"/>
          <w:szCs w:val="18"/>
        </w:rPr>
        <w:t> noi sau existente (COFUND) în cadrul Acțiunilor Marie Skłodowska-Curie (MCSA).</w:t>
      </w:r>
    </w:p>
    <w:p w14:paraId="3E5920AF"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xml:space="preserve">Scopul acțiunii </w:t>
      </w:r>
      <w:proofErr w:type="gramStart"/>
      <w:r w:rsidRPr="00C04BEE">
        <w:rPr>
          <w:rFonts w:ascii="Verdana" w:hAnsi="Verdana"/>
          <w:color w:val="313131"/>
          <w:sz w:val="18"/>
          <w:szCs w:val="18"/>
        </w:rPr>
        <w:t>este</w:t>
      </w:r>
      <w:proofErr w:type="gramEnd"/>
      <w:r w:rsidRPr="00C04BEE">
        <w:rPr>
          <w:rFonts w:ascii="Verdana" w:hAnsi="Verdana"/>
          <w:color w:val="313131"/>
          <w:sz w:val="18"/>
          <w:szCs w:val="18"/>
        </w:rPr>
        <w:t xml:space="preserve"> de a răspândi cele mai bune practici ale MSCA, inclusiv formarea în cercetare internațională, intersectorială și interdisciplinară, precum și mobilitatea internațională și intersectorială a cercetătorilor în toate etapele carierei lor.</w:t>
      </w:r>
    </w:p>
    <w:p w14:paraId="7C47A998"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Style w:val="Strong"/>
          <w:color w:val="313131"/>
        </w:rPr>
        <w:t>Orice entitate juridică</w:t>
      </w:r>
      <w:r w:rsidRPr="00C04BEE">
        <w:rPr>
          <w:rFonts w:ascii="Verdana" w:hAnsi="Verdana"/>
          <w:color w:val="313131"/>
          <w:sz w:val="18"/>
          <w:szCs w:val="18"/>
        </w:rPr>
        <w:t>, indiferent de locul său de stabilire, inclusiv entitățile juridice din țări terțe neasociate sau organizații internaționale (inclusiv organizații internaționale europene de cercetare) este eligibilă pentru a participa.</w:t>
      </w:r>
    </w:p>
    <w:p w14:paraId="64422C1F"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Un beneficiar poate primi doar o contribuție maximă a Uniunii Europene de </w:t>
      </w:r>
      <w:r w:rsidRPr="00C04BEE">
        <w:rPr>
          <w:rStyle w:val="Strong"/>
          <w:color w:val="313131"/>
        </w:rPr>
        <w:t>10 milioane de euro</w:t>
      </w:r>
      <w:r w:rsidRPr="00C04BEE">
        <w:rPr>
          <w:rFonts w:ascii="Verdana" w:hAnsi="Verdana"/>
          <w:color w:val="313131"/>
          <w:sz w:val="18"/>
          <w:szCs w:val="18"/>
        </w:rPr>
        <w:t>, iar bugetul total este de 89 milioane de euro.</w:t>
      </w:r>
    </w:p>
    <w:p w14:paraId="59A37D7F"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lastRenderedPageBreak/>
        <w:t xml:space="preserve">Termenul limită pentru depunerea aplicațiilor în cadrul apelului COFUND 2021 </w:t>
      </w:r>
      <w:proofErr w:type="gramStart"/>
      <w:r w:rsidRPr="00C04BEE">
        <w:rPr>
          <w:rFonts w:ascii="Verdana" w:hAnsi="Verdana"/>
          <w:color w:val="313131"/>
          <w:sz w:val="18"/>
          <w:szCs w:val="18"/>
        </w:rPr>
        <w:t>este</w:t>
      </w:r>
      <w:proofErr w:type="gramEnd"/>
      <w:r w:rsidRPr="00C04BEE">
        <w:rPr>
          <w:rFonts w:ascii="Verdana" w:hAnsi="Verdana"/>
          <w:color w:val="313131"/>
          <w:sz w:val="18"/>
          <w:szCs w:val="18"/>
        </w:rPr>
        <w:t xml:space="preserve"> 10 februarie 2022.</w:t>
      </w:r>
    </w:p>
    <w:p w14:paraId="701261FA"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Pentru mai multe informații puteți consulta rubrica noastră de </w:t>
      </w:r>
      <w:hyperlink r:id="rId29" w:tgtFrame="_blank" w:history="1">
        <w:r w:rsidRPr="00C04BEE">
          <w:rPr>
            <w:rStyle w:val="Emphasis"/>
            <w:b/>
            <w:bCs/>
            <w:color w:val="0000FF"/>
            <w:u w:val="single"/>
          </w:rPr>
          <w:t>alte finanțări</w:t>
        </w:r>
      </w:hyperlink>
      <w:r w:rsidRPr="00C04BEE">
        <w:rPr>
          <w:rFonts w:ascii="Verdana" w:hAnsi="Verdana"/>
          <w:color w:val="313131"/>
          <w:sz w:val="18"/>
          <w:szCs w:val="18"/>
        </w:rPr>
        <w:t>.</w:t>
      </w:r>
    </w:p>
    <w:p w14:paraId="49B1109A" w14:textId="77777777" w:rsidR="00AA00F2" w:rsidRPr="00C04BEE" w:rsidRDefault="00AA00F2" w:rsidP="00D5025E">
      <w:pPr>
        <w:pStyle w:val="Stilsursa"/>
      </w:pPr>
      <w:r w:rsidRPr="00C04BEE">
        <w:t>Sursa: Comisia Europeană</w:t>
      </w:r>
    </w:p>
    <w:p w14:paraId="197C0FA6" w14:textId="28D6CAF9" w:rsidR="00AA00F2" w:rsidRPr="00C04BEE" w:rsidRDefault="00AA00F2" w:rsidP="00D5025E">
      <w:pPr>
        <w:pStyle w:val="separatorarticole"/>
      </w:pPr>
      <w:r w:rsidRPr="00C04BEE">
        <w:t>*</w:t>
      </w:r>
    </w:p>
    <w:p w14:paraId="66F7B8F2" w14:textId="77777777" w:rsidR="00AA00F2" w:rsidRPr="00C04BEE" w:rsidRDefault="00AA00F2" w:rsidP="00D5025E">
      <w:pPr>
        <w:pStyle w:val="TitluArticolinINFOUE"/>
        <w:rPr>
          <w:lang w:eastAsia="ro-RO"/>
        </w:rPr>
      </w:pPr>
      <w:bookmarkStart w:id="144" w:name="_Toc89334241"/>
      <w:r w:rsidRPr="00C04BEE">
        <w:t>Programul „Mega Proiecte de Azi pentru Mâine”: Mai puțin de o săptămână la dispoziție pentru depunerea proiectelor destinate diminuării consumului de plastic și risipei alimentare</w:t>
      </w:r>
      <w:bookmarkEnd w:id="144"/>
    </w:p>
    <w:p w14:paraId="487F1380"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Organizațiile neguvernamentale și instituțiile care au minimum un an vechime pot aplica în cadrul celui mai nou program lansat de Mega Image dedicat îmbunătățirii calității vieții și a mediului înconjurător în comunități urbane și rurale, </w:t>
      </w:r>
      <w:r w:rsidRPr="00C04BEE">
        <w:rPr>
          <w:rStyle w:val="Emphasis"/>
          <w:b/>
          <w:bCs/>
          <w:color w:val="313131"/>
        </w:rPr>
        <w:t>Mega Proiecte de Azi pentru Mâine</w:t>
      </w:r>
      <w:r w:rsidRPr="00C04BEE">
        <w:rPr>
          <w:rFonts w:ascii="Verdana" w:hAnsi="Verdana"/>
          <w:color w:val="313131"/>
          <w:sz w:val="18"/>
          <w:szCs w:val="18"/>
        </w:rPr>
        <w:t>, prin care se urmărește găsirea și implementarea celor mai bune soluții la două dintre provocările cu care ne confruntăm în prezent: mai </w:t>
      </w:r>
      <w:r w:rsidRPr="00C04BEE">
        <w:rPr>
          <w:rStyle w:val="Strong"/>
          <w:color w:val="313131"/>
        </w:rPr>
        <w:t>puțin consum de plastic</w:t>
      </w:r>
      <w:r w:rsidRPr="00C04BEE">
        <w:rPr>
          <w:rFonts w:ascii="Verdana" w:hAnsi="Verdana"/>
          <w:color w:val="313131"/>
          <w:sz w:val="18"/>
          <w:szCs w:val="18"/>
        </w:rPr>
        <w:t> și </w:t>
      </w:r>
      <w:r w:rsidRPr="00C04BEE">
        <w:rPr>
          <w:rStyle w:val="Strong"/>
          <w:color w:val="313131"/>
        </w:rPr>
        <w:t>mai puțină risipă de alimente</w:t>
      </w:r>
      <w:r w:rsidRPr="00C04BEE">
        <w:rPr>
          <w:rFonts w:ascii="Verdana" w:hAnsi="Verdana"/>
          <w:color w:val="313131"/>
          <w:sz w:val="18"/>
          <w:szCs w:val="18"/>
        </w:rPr>
        <w:t>.</w:t>
      </w:r>
    </w:p>
    <w:p w14:paraId="4E1BEB71"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xml:space="preserve">Competitia </w:t>
      </w:r>
      <w:proofErr w:type="gramStart"/>
      <w:r w:rsidRPr="00C04BEE">
        <w:rPr>
          <w:rFonts w:ascii="Verdana" w:hAnsi="Verdana"/>
          <w:color w:val="313131"/>
          <w:sz w:val="18"/>
          <w:szCs w:val="18"/>
        </w:rPr>
        <w:t>va</w:t>
      </w:r>
      <w:proofErr w:type="gramEnd"/>
      <w:r w:rsidRPr="00C04BEE">
        <w:rPr>
          <w:rFonts w:ascii="Verdana" w:hAnsi="Verdana"/>
          <w:color w:val="313131"/>
          <w:sz w:val="18"/>
          <w:szCs w:val="18"/>
        </w:rPr>
        <w:t xml:space="preserve"> susține 5 proiecte în 2021, prin acordarea de sponsorizări în valoare totală de 100.000 de euro (</w:t>
      </w:r>
      <w:r w:rsidRPr="00C04BEE">
        <w:rPr>
          <w:rStyle w:val="Strong"/>
          <w:color w:val="313131"/>
        </w:rPr>
        <w:t>maximum 20.000 de euro/proiect</w:t>
      </w:r>
      <w:r w:rsidRPr="00C04BEE">
        <w:rPr>
          <w:rFonts w:ascii="Verdana" w:hAnsi="Verdana"/>
          <w:color w:val="313131"/>
          <w:sz w:val="18"/>
          <w:szCs w:val="18"/>
        </w:rPr>
        <w:t>).</w:t>
      </w:r>
    </w:p>
    <w:p w14:paraId="20243501"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 xml:space="preserve">Termenul limită de depunere a propunerilor de proiecte </w:t>
      </w:r>
      <w:proofErr w:type="gramStart"/>
      <w:r w:rsidRPr="00C04BEE">
        <w:rPr>
          <w:rFonts w:ascii="Verdana" w:hAnsi="Verdana"/>
          <w:color w:val="313131"/>
          <w:sz w:val="18"/>
          <w:szCs w:val="18"/>
        </w:rPr>
        <w:t>este</w:t>
      </w:r>
      <w:proofErr w:type="gramEnd"/>
      <w:r w:rsidRPr="00C04BEE">
        <w:rPr>
          <w:rFonts w:ascii="Verdana" w:hAnsi="Verdana"/>
          <w:color w:val="313131"/>
          <w:sz w:val="18"/>
          <w:szCs w:val="18"/>
        </w:rPr>
        <w:t xml:space="preserve"> duminică, 28 noiembrie 2021.</w:t>
      </w:r>
    </w:p>
    <w:p w14:paraId="281230DF"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Pentru mai multe detalii puteți consulta rubrica noastră de </w:t>
      </w:r>
      <w:hyperlink r:id="rId30" w:tgtFrame="_blank" w:history="1">
        <w:r w:rsidRPr="00C04BEE">
          <w:rPr>
            <w:rStyle w:val="Emphasis"/>
            <w:b/>
            <w:bCs/>
            <w:color w:val="0000FF"/>
            <w:u w:val="single"/>
          </w:rPr>
          <w:t>alte finanțări</w:t>
        </w:r>
      </w:hyperlink>
      <w:r w:rsidRPr="00C04BEE">
        <w:rPr>
          <w:rFonts w:ascii="Verdana" w:hAnsi="Verdana"/>
          <w:color w:val="313131"/>
          <w:sz w:val="18"/>
          <w:szCs w:val="18"/>
        </w:rPr>
        <w:t>.</w:t>
      </w:r>
    </w:p>
    <w:p w14:paraId="4058D56A" w14:textId="77777777" w:rsidR="00AA00F2" w:rsidRPr="00C04BEE" w:rsidRDefault="00AA00F2" w:rsidP="00D5025E">
      <w:pPr>
        <w:pStyle w:val="Stilsursa"/>
      </w:pPr>
      <w:r w:rsidRPr="00C04BEE">
        <w:t>Sursa: Programul Mega Proiecte de Azi pentru Mâine</w:t>
      </w:r>
    </w:p>
    <w:p w14:paraId="244A60E8" w14:textId="2B000FB6" w:rsidR="00AA00F2" w:rsidRPr="00C04BEE" w:rsidRDefault="00AA00F2" w:rsidP="00D5025E">
      <w:pPr>
        <w:pStyle w:val="separatorarticole"/>
      </w:pPr>
      <w:r w:rsidRPr="00C04BEE">
        <w:t>*</w:t>
      </w:r>
    </w:p>
    <w:p w14:paraId="15C9E8DB" w14:textId="77777777" w:rsidR="00AA00F2" w:rsidRPr="00C04BEE" w:rsidRDefault="00AA00F2" w:rsidP="00D5025E">
      <w:pPr>
        <w:pStyle w:val="TitluArticolinINFOUE"/>
        <w:rPr>
          <w:lang w:eastAsia="ro-RO"/>
        </w:rPr>
      </w:pPr>
      <w:bookmarkStart w:id="145" w:name="_Toc89334242"/>
      <w:r w:rsidRPr="00C04BEE">
        <w:t>PNDR: Termen de depunere prelungit pentru proiectele de cooperare orizontală şi verticală între actorii din lanţul de aprovizionare în sectorele pomicol și agricol</w:t>
      </w:r>
      <w:bookmarkEnd w:id="145"/>
    </w:p>
    <w:p w14:paraId="7DF6D8A5"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Agenţia pentru Finanțarea Investițiilor Rurale a anunțat la sfârșitul săptămânii trecute prelungirea termenului de depunere a proiectelor în cadrul primei sesiuni din 2021 de depunere a Cererilor de finanţare pentru </w:t>
      </w:r>
      <w:r w:rsidRPr="00C04BEE">
        <w:rPr>
          <w:rStyle w:val="Emphasis"/>
          <w:b/>
          <w:bCs/>
          <w:color w:val="313131"/>
        </w:rPr>
        <w:t>submăsura 16.4 „Sprijin acordat pentru cooperare orizontală şi verticală între actorii din lanţul de aprovizionare în sectorul agricol”</w:t>
      </w:r>
      <w:r w:rsidRPr="00C04BEE">
        <w:rPr>
          <w:rFonts w:ascii="Verdana" w:hAnsi="Verdana"/>
          <w:color w:val="313131"/>
          <w:sz w:val="18"/>
          <w:szCs w:val="18"/>
        </w:rPr>
        <w:t> și </w:t>
      </w:r>
      <w:r w:rsidRPr="00C04BEE">
        <w:rPr>
          <w:rStyle w:val="Emphasis"/>
          <w:b/>
          <w:bCs/>
          <w:color w:val="313131"/>
        </w:rPr>
        <w:t>submăsura 16.4a „Sprijin acordat pentru cooperare orizontală şi verticală între actorii din lanţul de aprovizionare în sectorul pomicol”</w:t>
      </w:r>
      <w:r w:rsidRPr="00C04BEE">
        <w:rPr>
          <w:rFonts w:ascii="Verdana" w:hAnsi="Verdana"/>
          <w:color w:val="313131"/>
          <w:sz w:val="18"/>
          <w:szCs w:val="18"/>
        </w:rPr>
        <w:t> din Programul Național de Dezvoltare Rurală 2014 – 2020 (PNDR 2020).</w:t>
      </w:r>
    </w:p>
    <w:p w14:paraId="01E22FE6"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Perioada de depunere inițială a fost stabilită în perioada 27 august - 26 noiembrie 2021, termenul de dpeunere fiind acum prelungit până la 31.12.2021, ora 16:00.</w:t>
      </w:r>
    </w:p>
    <w:p w14:paraId="5D544B11"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Fondurile disponibile pentru sM 16.4 sunt de 40.000.000 Euro, respectiv 10.000.000 Euro pentru sM 16.4a.</w:t>
      </w:r>
    </w:p>
    <w:p w14:paraId="05D0B415"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Mai multe detalii despre măsura sM 16.4 sunt disponibile </w:t>
      </w:r>
      <w:hyperlink r:id="rId31" w:tgtFrame="_blank" w:history="1">
        <w:r w:rsidRPr="00C04BEE">
          <w:rPr>
            <w:rStyle w:val="Emphasis"/>
            <w:b/>
            <w:bCs/>
            <w:color w:val="0000FF"/>
            <w:u w:val="single"/>
          </w:rPr>
          <w:t>aici</w:t>
        </w:r>
      </w:hyperlink>
      <w:r w:rsidRPr="00C04BEE">
        <w:rPr>
          <w:rFonts w:ascii="Verdana" w:hAnsi="Verdana"/>
          <w:color w:val="313131"/>
          <w:sz w:val="18"/>
          <w:szCs w:val="18"/>
        </w:rPr>
        <w:t>.</w:t>
      </w:r>
    </w:p>
    <w:p w14:paraId="32993922" w14:textId="77777777" w:rsidR="00AA00F2" w:rsidRPr="00C04BEE" w:rsidRDefault="00AA00F2" w:rsidP="00C04BEE">
      <w:pPr>
        <w:pStyle w:val="NormalWeb"/>
        <w:spacing w:before="120" w:beforeAutospacing="0" w:after="0" w:afterAutospacing="0"/>
        <w:rPr>
          <w:rFonts w:ascii="Verdana" w:hAnsi="Verdana"/>
          <w:color w:val="313131"/>
          <w:sz w:val="18"/>
          <w:szCs w:val="18"/>
        </w:rPr>
      </w:pPr>
      <w:r w:rsidRPr="00C04BEE">
        <w:rPr>
          <w:rFonts w:ascii="Verdana" w:hAnsi="Verdana"/>
          <w:color w:val="313131"/>
          <w:sz w:val="18"/>
          <w:szCs w:val="18"/>
        </w:rPr>
        <w:t>Mai multe detalii despre măsura sM 16.4a sunt disponibile </w:t>
      </w:r>
      <w:hyperlink r:id="rId32" w:tgtFrame="_blank" w:history="1">
        <w:r w:rsidRPr="00C04BEE">
          <w:rPr>
            <w:rStyle w:val="Emphasis"/>
            <w:b/>
            <w:bCs/>
            <w:color w:val="0000FF"/>
            <w:u w:val="single"/>
          </w:rPr>
          <w:t>aici</w:t>
        </w:r>
      </w:hyperlink>
      <w:r w:rsidRPr="00C04BEE">
        <w:rPr>
          <w:rFonts w:ascii="Verdana" w:hAnsi="Verdana"/>
          <w:color w:val="313131"/>
          <w:sz w:val="18"/>
          <w:szCs w:val="18"/>
        </w:rPr>
        <w:t>.  </w:t>
      </w:r>
    </w:p>
    <w:p w14:paraId="7D5CEA61" w14:textId="77777777" w:rsidR="00AA00F2" w:rsidRPr="00C04BEE" w:rsidRDefault="00AA00F2" w:rsidP="00D5025E">
      <w:pPr>
        <w:pStyle w:val="Stilsursa"/>
      </w:pPr>
      <w:r w:rsidRPr="00C04BEE">
        <w:t>Sursa: AFIR </w:t>
      </w:r>
    </w:p>
    <w:p w14:paraId="766DC17E" w14:textId="77777777" w:rsidR="00D5025E" w:rsidRDefault="00D5025E">
      <w:pPr>
        <w:spacing w:before="0"/>
        <w:rPr>
          <w:color w:val="9999FF"/>
          <w:spacing w:val="40"/>
          <w:sz w:val="16"/>
          <w:szCs w:val="16"/>
        </w:rPr>
      </w:pPr>
      <w:r>
        <w:rPr>
          <w:color w:val="9999FF"/>
          <w:spacing w:val="40"/>
          <w:sz w:val="16"/>
          <w:szCs w:val="16"/>
        </w:rPr>
        <w:br w:type="page"/>
      </w:r>
    </w:p>
    <w:p w14:paraId="112C5F0B" w14:textId="3C7BDA2D"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lastRenderedPageBreak/>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74B2A0F4" w14:textId="149DA111" w:rsidR="004F4047" w:rsidRDefault="0093714A" w:rsidP="002D3B62">
      <w:pPr>
        <w:pStyle w:val="RezultatedinOF"/>
        <w:tabs>
          <w:tab w:val="left" w:pos="2268"/>
          <w:tab w:val="left" w:pos="2410"/>
          <w:tab w:val="left" w:pos="2694"/>
        </w:tabs>
        <w:spacing w:after="0" w:line="240" w:lineRule="auto"/>
        <w:ind w:right="57"/>
        <w:rPr>
          <w:color w:val="C00000"/>
          <w:sz w:val="18"/>
          <w:szCs w:val="18"/>
        </w:rPr>
      </w:pPr>
      <w:bookmarkStart w:id="146" w:name="_Toc89334243"/>
      <w:r w:rsidRPr="00B06E02">
        <w:rPr>
          <w:color w:val="C00000"/>
          <w:sz w:val="18"/>
          <w:szCs w:val="18"/>
        </w:rPr>
        <w:t>Din actualitatea europeană</w:t>
      </w:r>
      <w:bookmarkEnd w:id="146"/>
    </w:p>
    <w:p w14:paraId="31AF109F" w14:textId="77777777" w:rsidR="00CF3E11" w:rsidRPr="00D5025E" w:rsidRDefault="00CF3E11" w:rsidP="00D5025E">
      <w:pPr>
        <w:pStyle w:val="TitluArticolinINFOUE"/>
        <w:rPr>
          <w:lang w:eastAsia="ro-RO"/>
        </w:rPr>
      </w:pPr>
      <w:bookmarkStart w:id="147" w:name="_Toc89334244"/>
      <w:r w:rsidRPr="00D5025E">
        <w:t>Participarea Ramonei Chiriac, șefa Reprezentanței Comisiei Europene în România, la evenimentul „Anul European al Tineretului - Prioritățile Tinerilor"</w:t>
      </w:r>
      <w:bookmarkEnd w:id="147"/>
    </w:p>
    <w:p w14:paraId="241D68FF" w14:textId="77777777" w:rsidR="00CF3E11" w:rsidRPr="00D5025E" w:rsidRDefault="00CF3E11"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Ramona Chiriac, șefa Reprezentanței Comisiei Europene în România: </w:t>
      </w:r>
      <w:r w:rsidRPr="00D5025E">
        <w:rPr>
          <w:rStyle w:val="Emphasis"/>
          <w:rFonts w:cs="Arial"/>
          <w:color w:val="404040"/>
        </w:rPr>
        <w:t>Generația tânără este proprietara viitorului Uniunii. De aceea, tinerii reprezintă o prioritate pentru Comisia Europeană, care a propus ca anul 2022 să fie Anul European al Tineretului</w:t>
      </w:r>
    </w:p>
    <w:p w14:paraId="38F91CDB" w14:textId="06E9B3F6" w:rsidR="00CF3E11" w:rsidRPr="00D5025E" w:rsidRDefault="00CF3E11" w:rsidP="00D5025E">
      <w:pPr>
        <w:rPr>
          <w:color w:val="404040"/>
          <w:szCs w:val="18"/>
        </w:rPr>
      </w:pPr>
      <w:r w:rsidRPr="00D5025E">
        <w:rPr>
          <w:noProof/>
          <w:szCs w:val="18"/>
          <w:lang w:eastAsia="ro-RO"/>
        </w:rPr>
        <w:drawing>
          <wp:anchor distT="0" distB="0" distL="114300" distR="114300" simplePos="0" relativeHeight="252018688" behindDoc="0" locked="0" layoutInCell="1" allowOverlap="1" wp14:anchorId="6BA4F41C" wp14:editId="4012D39B">
            <wp:simplePos x="0" y="0"/>
            <wp:positionH relativeFrom="column">
              <wp:posOffset>2540</wp:posOffset>
            </wp:positionH>
            <wp:positionV relativeFrom="paragraph">
              <wp:posOffset>73025</wp:posOffset>
            </wp:positionV>
            <wp:extent cx="2390775" cy="1753870"/>
            <wp:effectExtent l="0" t="0" r="9525" b="0"/>
            <wp:wrapSquare wrapText="bothSides"/>
            <wp:docPr id="48" name="Picture 48" descr="Anul European al Tinere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l European al Tineretulu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753870"/>
                    </a:xfrm>
                    <a:prstGeom prst="rect">
                      <a:avLst/>
                    </a:prstGeom>
                    <a:noFill/>
                    <a:ln>
                      <a:noFill/>
                    </a:ln>
                  </pic:spPr>
                </pic:pic>
              </a:graphicData>
            </a:graphic>
          </wp:anchor>
        </w:drawing>
      </w:r>
      <w:r w:rsidRPr="00D5025E">
        <w:rPr>
          <w:color w:val="404040"/>
          <w:szCs w:val="18"/>
        </w:rPr>
        <w:t>Ramona Chiriac, Șefa Reprezentanței Comisiei Europene în România, a participat astăzi, 26 noiembrie, la evenimentul „</w:t>
      </w:r>
      <w:r w:rsidRPr="00D5025E">
        <w:rPr>
          <w:rStyle w:val="Emphasis"/>
          <w:color w:val="404040"/>
        </w:rPr>
        <w:t>Anul European al Tineretului - Prioritățile Tinerilor",</w:t>
      </w:r>
      <w:r w:rsidRPr="00D5025E">
        <w:rPr>
          <w:color w:val="404040"/>
          <w:szCs w:val="18"/>
        </w:rPr>
        <w:t> alături de membri ai Parlamentului European, Eugen Tomac, Victor Negrescu și Dragoș Pîslaru, E.S. Laurence Auer, ambasadorul Republicii franceze în România si reprezentanți din mediul guvernamental și administrativ, dar și reprezentanți ai organizatiilor neguvernamentale.</w:t>
      </w:r>
    </w:p>
    <w:p w14:paraId="47D4D7D9" w14:textId="77777777" w:rsidR="00CF3E11" w:rsidRPr="00D5025E" w:rsidRDefault="00CF3E11"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În discursul său Ramona Chiriac a vorbit despre faptul ca tinerii reprezinta o</w:t>
      </w:r>
      <w:proofErr w:type="gramStart"/>
      <w:r w:rsidRPr="00D5025E">
        <w:rPr>
          <w:rFonts w:ascii="Verdana" w:hAnsi="Verdana"/>
          <w:color w:val="404040"/>
          <w:sz w:val="18"/>
          <w:szCs w:val="18"/>
        </w:rPr>
        <w:t> </w:t>
      </w:r>
      <w:r w:rsidRPr="00D5025E">
        <w:rPr>
          <w:rStyle w:val="Strong"/>
          <w:color w:val="404040"/>
        </w:rPr>
        <w:t> inspira</w:t>
      </w:r>
      <w:proofErr w:type="gramEnd"/>
      <w:r w:rsidRPr="00D5025E">
        <w:rPr>
          <w:rStyle w:val="Strong"/>
          <w:color w:val="404040"/>
        </w:rPr>
        <w:t>ție pentru acțiunile recente ale Comisiei</w:t>
      </w:r>
      <w:r w:rsidRPr="00D5025E">
        <w:rPr>
          <w:rFonts w:ascii="Verdana" w:hAnsi="Verdana"/>
          <w:color w:val="404040"/>
          <w:sz w:val="18"/>
          <w:szCs w:val="18"/>
        </w:rPr>
        <w:t> precizând:</w:t>
      </w:r>
    </w:p>
    <w:p w14:paraId="4B6974F3" w14:textId="77777777" w:rsidR="00CF3E11" w:rsidRPr="00D5025E" w:rsidRDefault="00CF3E11"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„Generația tânără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proprietara viitorului Uniunii. De aceea, tinerii reprezintă o prioritate pentru Comisia Europeană, care a propus ca anul 2022 să fie Anul European al Tineretului."</w:t>
      </w:r>
    </w:p>
    <w:p w14:paraId="1B6C36CB" w14:textId="383C6050" w:rsidR="00CF3E11" w:rsidRPr="00D5025E" w:rsidRDefault="00CF3E11" w:rsidP="00D5025E">
      <w:pPr>
        <w:pStyle w:val="separatorarticole"/>
      </w:pPr>
      <w:r w:rsidRPr="00D5025E">
        <w:t>*</w:t>
      </w:r>
    </w:p>
    <w:p w14:paraId="16F18BA2" w14:textId="77777777" w:rsidR="001B2877" w:rsidRPr="00D5025E" w:rsidRDefault="001B2877" w:rsidP="00D5025E">
      <w:pPr>
        <w:pStyle w:val="TitluArticolinINFOUE"/>
        <w:rPr>
          <w:lang w:eastAsia="ro-RO"/>
        </w:rPr>
      </w:pPr>
      <w:bookmarkStart w:id="148" w:name="_Toc89334245"/>
      <w:r w:rsidRPr="00D5025E">
        <w:t>Ramona Chiriac, șefa Rep.CE în România: „Este important să existe un sistem sanitar rezistent la crize și să se asigure disponibilitatea medicamentelor în orice situație"</w:t>
      </w:r>
      <w:bookmarkEnd w:id="148"/>
    </w:p>
    <w:p w14:paraId="4B867774" w14:textId="77777777" w:rsidR="001B2877" w:rsidRPr="00D5025E" w:rsidRDefault="001B2877"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Ramona Chiriac, șefa Reprezentanței Comisiei Europene în România: „</w:t>
      </w:r>
      <w:r w:rsidRPr="00D5025E">
        <w:rPr>
          <w:rStyle w:val="Emphasis"/>
          <w:rFonts w:cs="Arial"/>
          <w:color w:val="404040"/>
        </w:rPr>
        <w:t>Este important să existe un sistem sanitar rezistent la crize și să se asigure disponibilitatea medicamentelor în orice situație".</w:t>
      </w:r>
    </w:p>
    <w:p w14:paraId="4EC87C8F" w14:textId="2D4CB5C1" w:rsidR="001B2877" w:rsidRPr="00D5025E" w:rsidRDefault="001B2877" w:rsidP="00D5025E">
      <w:pPr>
        <w:rPr>
          <w:color w:val="404040"/>
          <w:szCs w:val="18"/>
        </w:rPr>
      </w:pPr>
      <w:r w:rsidRPr="00D5025E">
        <w:rPr>
          <w:noProof/>
          <w:szCs w:val="18"/>
          <w:lang w:eastAsia="ro-RO"/>
        </w:rPr>
        <w:drawing>
          <wp:anchor distT="0" distB="0" distL="114300" distR="114300" simplePos="0" relativeHeight="252019712" behindDoc="0" locked="0" layoutInCell="1" allowOverlap="1" wp14:anchorId="56F5FAB7" wp14:editId="2A8C29B4">
            <wp:simplePos x="0" y="0"/>
            <wp:positionH relativeFrom="column">
              <wp:posOffset>2540</wp:posOffset>
            </wp:positionH>
            <wp:positionV relativeFrom="paragraph">
              <wp:posOffset>72390</wp:posOffset>
            </wp:positionV>
            <wp:extent cx="2590800" cy="1456181"/>
            <wp:effectExtent l="0" t="0" r="0" b="0"/>
            <wp:wrapSquare wrapText="bothSides"/>
            <wp:docPr id="46" name="Picture 46" descr="PACTfo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CTforHEAL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0" cy="1456181"/>
                    </a:xfrm>
                    <a:prstGeom prst="rect">
                      <a:avLst/>
                    </a:prstGeom>
                    <a:noFill/>
                    <a:ln>
                      <a:noFill/>
                    </a:ln>
                  </pic:spPr>
                </pic:pic>
              </a:graphicData>
            </a:graphic>
          </wp:anchor>
        </w:drawing>
      </w:r>
      <w:r w:rsidRPr="00D5025E">
        <w:rPr>
          <w:color w:val="404040"/>
          <w:szCs w:val="18"/>
        </w:rPr>
        <w:t>Ramona Chiriac, Șefa Reprezentanței Comisiei Europene în România a participat astăzi, 25 noiembrie, la evenimentul: </w:t>
      </w:r>
      <w:r w:rsidRPr="00D5025E">
        <w:rPr>
          <w:rStyle w:val="Emphasis"/>
          <w:b/>
          <w:bCs/>
          <w:color w:val="404040"/>
        </w:rPr>
        <w:t>PACT for Health: Inovație și parteneriat strategic pentru pacienți </w:t>
      </w:r>
      <w:r w:rsidRPr="00D5025E">
        <w:rPr>
          <w:color w:val="404040"/>
          <w:szCs w:val="18"/>
        </w:rPr>
        <w:t>alături de reprezentanți din mediul politic, guvernamental și administrativ, dar și reprezentanți ai pacienților, alături de furnizorii de inovație. În discursul său Ramona Chiriac a vorbit despre ‚„sănătate la standarde europene pentru pacienții din România. Rolul industriei farmaceutice în implementarea viziunii Comisiei Europene" precizând:</w:t>
      </w:r>
    </w:p>
    <w:p w14:paraId="7C5F652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t>„În ceea ce privește rolul industriei farmaceutice în implementarea viziunii Comisiei Europene avem o strategie farmaceutică pentru Europa adoptată în urmă cu fix un an, la 25 noiembrie 2020, care își propune să creeze un cadru de reglementare orientat spre viitor, o piață funcțională și să sprijine industria în promovarea cercetării și a tehnologiilor care ajung efectiv la pacienți. Propunerile pactului de cooperare pe care il propuneți astăzi Comisiilor relevante ale Parlamentului României converg in bună parte cu pilonii strategiei europene.</w:t>
      </w:r>
    </w:p>
    <w:p w14:paraId="72B92B83"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t>Știm că cetățenii din întreaga UE se așteaptă să beneficieze de acces egal la terapii sigure și moderne, la prețuri acceptabile. Medicamentele joacă un rol important în această privință, deoarece oferă opțiuni terapeutice pentru diagnosticarea, tratarea și prevenirea bolilor. Cu toate acestea, terapiile inovatoare nu ajung la toți pacienții din întreaga Europă cu aceeași viteză, iar unii dintre ei s-ar putea să nu aibă acces la medicamentele de care au nevoie din cauza penuriei. În plus, sistemele de sănătate și pacienții întâmpină dificultăți în suportarea costului medicamentelor. Pandemia fără precedent de COVID-19 a demonstrat, de asemenea, cât de important este să existe un sistem rezistent la crize și să se asigure disponibilitatea medicamentelor în orice situație.</w:t>
      </w:r>
    </w:p>
    <w:p w14:paraId="44C73B6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lastRenderedPageBreak/>
        <w:t>Sectorul farmaceutic din Europa si implicit din România este parte din soluția la aceste probleme. În cooperare cu autoritățile și cu un cadru de reglementare adecvat, el poate contribui la creșterea economică si a investițiilor în inovare, la crearea de locuri de muncă înalt calificate, la implementarea digitalizării în sistemul de sănătate.</w:t>
      </w:r>
    </w:p>
    <w:p w14:paraId="2A3E86CE"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t>Comisia Europeană va prezenta o propunere de revizuire a legislației farmaceutice în 2022 cu scopul de a asigura, printre altele, accesul la medicamente la prețuri accesibile, de a promova inovarea și securitatea aprovizionării și de a reduce birocrația. Ne aflăm acum în perioada de consultare publică care se desfășoară până în data de 21 decembrie, adoptarea legislației fiind planificată pentru sfârșitul anului viitor.</w:t>
      </w:r>
    </w:p>
    <w:p w14:paraId="3BC6630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t>Vă invit pe toți cei de față să participați activ la această consultare e publică si la întregul proces legislativ pentru a crea împreună o Uniune a Sănătății așa cum și-o doresc cetățenii."</w:t>
      </w:r>
    </w:p>
    <w:p w14:paraId="2D7C4677" w14:textId="2865E35E" w:rsidR="001B2877" w:rsidRPr="00D5025E" w:rsidRDefault="001B2877" w:rsidP="00D5025E">
      <w:pPr>
        <w:pStyle w:val="separatorarticole"/>
      </w:pPr>
      <w:r w:rsidRPr="00D5025E">
        <w:t>*</w:t>
      </w:r>
    </w:p>
    <w:p w14:paraId="745955B0" w14:textId="77777777" w:rsidR="001B2877" w:rsidRPr="00D5025E" w:rsidRDefault="001B2877" w:rsidP="00D5025E">
      <w:pPr>
        <w:pStyle w:val="TitluArticolinINFOUE"/>
        <w:rPr>
          <w:lang w:eastAsia="ro-RO"/>
        </w:rPr>
      </w:pPr>
      <w:bookmarkStart w:id="149" w:name="_Toc89334246"/>
      <w:r w:rsidRPr="00D5025E">
        <w:t>Democrația europeană: Comisia prezintă noi acte legislative privind publicitatea politică, drepturile electorale și finanțarea partidelor</w:t>
      </w:r>
      <w:bookmarkEnd w:id="149"/>
    </w:p>
    <w:p w14:paraId="22393B73" w14:textId="77777777" w:rsidR="001B2877" w:rsidRPr="00D5025E" w:rsidRDefault="001B2877"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Comisia Europeană a prezentat astăzi, 25 noiembrie, o propunere privind transparența și direcționarea publicității politice, în cadrul măsurilor menite să protejeze integritatea alegerilor și dezbaterea democratică deschisă.</w:t>
      </w:r>
    </w:p>
    <w:p w14:paraId="0AD7B653" w14:textId="32E079CB" w:rsidR="001B2877" w:rsidRPr="00D5025E" w:rsidRDefault="001B2877" w:rsidP="00D5025E">
      <w:pPr>
        <w:rPr>
          <w:color w:val="404040"/>
          <w:szCs w:val="18"/>
        </w:rPr>
      </w:pPr>
      <w:r w:rsidRPr="00D5025E">
        <w:rPr>
          <w:noProof/>
          <w:szCs w:val="18"/>
          <w:lang w:eastAsia="ro-RO"/>
        </w:rPr>
        <w:drawing>
          <wp:anchor distT="0" distB="0" distL="114300" distR="114300" simplePos="0" relativeHeight="252020736" behindDoc="0" locked="0" layoutInCell="1" allowOverlap="1" wp14:anchorId="4B90B8D7" wp14:editId="033C1439">
            <wp:simplePos x="0" y="0"/>
            <wp:positionH relativeFrom="column">
              <wp:posOffset>2540</wp:posOffset>
            </wp:positionH>
            <wp:positionV relativeFrom="paragraph">
              <wp:posOffset>77470</wp:posOffset>
            </wp:positionV>
            <wp:extent cx="2457450" cy="1229965"/>
            <wp:effectExtent l="0" t="0" r="0" b="8890"/>
            <wp:wrapSquare wrapText="bothSides"/>
            <wp:docPr id="45" name="Picture 45" descr="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mocrac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7450" cy="1229965"/>
                    </a:xfrm>
                    <a:prstGeom prst="rect">
                      <a:avLst/>
                    </a:prstGeom>
                    <a:noFill/>
                    <a:ln>
                      <a:noFill/>
                    </a:ln>
                  </pic:spPr>
                </pic:pic>
              </a:graphicData>
            </a:graphic>
          </wp:anchor>
        </w:drawing>
      </w:r>
      <w:r w:rsidRPr="00D5025E">
        <w:rPr>
          <w:color w:val="404040"/>
          <w:szCs w:val="18"/>
        </w:rPr>
        <w:t>Conform normelor propuse, orice anunț publicitar politic ar trebui să fie marcat în mod clar ca atare și să furnizeze publicului informații, cum ar fi cine și cât a plătit pentru el. Tehnicile de direcționare și amplificare în materie de politică ar trebui să fie explicate public la un nivel de detaliere fără precedent și să fie interzise dacă utilizează date cu caracter personal sensibile fără consimțământul explicit al persoanei vizate. Comisia propune, de asemenea, actualizarea normelor în vigoare ale UE privind „cetățenii mobili” ai UE și dreptul lor de a vota la alegerile europene și locale, precum și a normelor privind partidele și fundațiile politice europene.</w:t>
      </w:r>
    </w:p>
    <w:p w14:paraId="107A3BC9"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Vicepreședinta pentru valori și transparență, Vera </w:t>
      </w:r>
      <w:r w:rsidRPr="00D5025E">
        <w:rPr>
          <w:rStyle w:val="Strong"/>
          <w:color w:val="404040"/>
        </w:rPr>
        <w:t>Jourová</w:t>
      </w:r>
      <w:r w:rsidRPr="00D5025E">
        <w:rPr>
          <w:rFonts w:ascii="Verdana" w:hAnsi="Verdana"/>
          <w:color w:val="404040"/>
          <w:sz w:val="18"/>
          <w:szCs w:val="18"/>
        </w:rPr>
        <w:t>, a declarat: </w:t>
      </w:r>
      <w:r w:rsidRPr="00D5025E">
        <w:rPr>
          <w:rStyle w:val="Emphasis"/>
          <w:color w:val="404040"/>
        </w:rPr>
        <w:t>„Alegerile nu trebuie să fie o întrecere a celor care folosesc metode opace și lipsite de transparență. Cetățenii trebuie să știe de ce văd un anunț publicitar, cine și cât a plătit pentru acesta, ce criterii de microdirecționare s-au utilizat. Noile tehnologii ar trebui să fie instrumente de emancipare, nu de manipulare. Datorită acestei propuneri ambițioase, se va asigura un nivel de transparență fără precedent pentru campaniile politice și se va limita utilizarea tehnicilor opace de direcționare.”</w:t>
      </w:r>
    </w:p>
    <w:p w14:paraId="3C545940"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Comisarul pentru justiție, Didier </w:t>
      </w:r>
      <w:r w:rsidRPr="00D5025E">
        <w:rPr>
          <w:rStyle w:val="Strong"/>
          <w:color w:val="404040"/>
        </w:rPr>
        <w:t>Reynders</w:t>
      </w:r>
      <w:r w:rsidRPr="00D5025E">
        <w:rPr>
          <w:rFonts w:ascii="Verdana" w:hAnsi="Verdana"/>
          <w:color w:val="404040"/>
          <w:sz w:val="18"/>
          <w:szCs w:val="18"/>
        </w:rPr>
        <w:t>, a declarat: </w:t>
      </w:r>
      <w:r w:rsidRPr="00D5025E">
        <w:rPr>
          <w:rStyle w:val="Emphasis"/>
          <w:color w:val="404040"/>
        </w:rPr>
        <w:t>„Alegerile corecte și transparente fac parte integrantă dintr-o societate dinamică și funcțională. Din acest motiv trebuie să sprijinim participarea favorabilă incluziunii și egală la alegerile pentru Parlamentul European din 2024 și la alegerile locale din întreaga UE. Prin propunerea privind publicitatea politică, garantăm utilizarea în condiții de siguranță a datelor cu caracter personal în contextul direcționării politice, protejând astfel procesul democratic. Împreună, facem progrese în ceea ce privește activitatea noastră comună în favoarea democrației.”</w:t>
      </w:r>
    </w:p>
    <w:p w14:paraId="0AF0ADD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Norme clare privind transparența și direcționarea publicității politice</w:t>
      </w:r>
    </w:p>
    <w:p w14:paraId="4E48DBEE"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Odată cu tranziția digitală aflată în curs, cetățenii trebuie să își poată da seama cu ușurință dacă privesc – atât offline, cât și online – un conținut politic plătit și să participe la dezbateri deschise, care să nu fie afectate de dezinformare, interferențe și manipulare. Cetățenii ar trebui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poată vedea în mod clar cine și de ce a sponsorizat un anunț publicitar politic. Printre principalele măsuri prevăzute în regulamentul propus privind transparența și direcționarea publicității politice se numără și următoarele:</w:t>
      </w:r>
    </w:p>
    <w:p w14:paraId="5C2A0B5B" w14:textId="77777777" w:rsidR="001B2877" w:rsidRPr="00D5025E" w:rsidRDefault="001B2877" w:rsidP="00D5025E">
      <w:pPr>
        <w:numPr>
          <w:ilvl w:val="0"/>
          <w:numId w:val="23"/>
        </w:numPr>
        <w:ind w:left="0"/>
        <w:rPr>
          <w:color w:val="404040"/>
          <w:szCs w:val="18"/>
        </w:rPr>
      </w:pPr>
      <w:r w:rsidRPr="00D5025E">
        <w:rPr>
          <w:rStyle w:val="Strong"/>
          <w:color w:val="404040"/>
        </w:rPr>
        <w:t>domeniul de aplicare:</w:t>
      </w:r>
      <w:r w:rsidRPr="00D5025E">
        <w:rPr>
          <w:color w:val="404040"/>
          <w:szCs w:val="18"/>
        </w:rPr>
        <w:t> publicitatea politică va cuprinde publicitatea pe care și-o face un actor politic și publicitatea pentru sau în numele unui actor politic, precum și așa-numita publicitate tematică, susceptibile să influențeze rezultatul unor alegeri sau ale unui referendum, un proces legislativ sau de reglementare ori comportamentul de vot;</w:t>
      </w:r>
    </w:p>
    <w:p w14:paraId="5402905A" w14:textId="77777777" w:rsidR="001B2877" w:rsidRPr="00D5025E" w:rsidRDefault="001B2877" w:rsidP="00D5025E">
      <w:pPr>
        <w:numPr>
          <w:ilvl w:val="0"/>
          <w:numId w:val="23"/>
        </w:numPr>
        <w:ind w:left="0"/>
        <w:rPr>
          <w:color w:val="404040"/>
          <w:szCs w:val="18"/>
        </w:rPr>
      </w:pPr>
      <w:r w:rsidRPr="00D5025E">
        <w:rPr>
          <w:rStyle w:val="Strong"/>
          <w:color w:val="404040"/>
        </w:rPr>
        <w:lastRenderedPageBreak/>
        <w:t>anunțuri menite să asigure transparența:</w:t>
      </w:r>
      <w:r w:rsidRPr="00D5025E">
        <w:rPr>
          <w:color w:val="404040"/>
          <w:szCs w:val="18"/>
        </w:rPr>
        <w:t> publicitatea politică plătită trebuie să fie marcată în mod clar și să furnizeze o serie de informații-cheie, printre care numele sponsorului, afișat vizibil, și o notificare menită să asigure transparența care să fie ușor de accesat și să precizeze (1) suma cheltuită pentru publicitatea politică, (2) proveniența fondurilor utilizate și (3) legătura dintre publicitate și alegerile sau referendumurile relevante;</w:t>
      </w:r>
    </w:p>
    <w:p w14:paraId="0168B4ED" w14:textId="77777777" w:rsidR="001B2877" w:rsidRPr="00D5025E" w:rsidRDefault="001B2877" w:rsidP="00D5025E">
      <w:pPr>
        <w:numPr>
          <w:ilvl w:val="0"/>
          <w:numId w:val="23"/>
        </w:numPr>
        <w:ind w:left="0"/>
        <w:rPr>
          <w:color w:val="404040"/>
          <w:szCs w:val="18"/>
        </w:rPr>
      </w:pPr>
      <w:r w:rsidRPr="00D5025E">
        <w:rPr>
          <w:rStyle w:val="Strong"/>
          <w:color w:val="404040"/>
        </w:rPr>
        <w:t>condiții stricte pentru direcționare și amplificare:</w:t>
      </w:r>
      <w:r w:rsidRPr="00D5025E">
        <w:rPr>
          <w:color w:val="404040"/>
          <w:szCs w:val="18"/>
        </w:rPr>
        <w:t> vor fi interzise tehnicile de direcționare și amplificare în materie de politică ce utilizează sau deduc date cu caracter personal sensibile, cum ar fi originea etnică, convingerile religioase sau orientarea sexuală. Aceste tehnici vor fi autorizate numai după obținerea unui consimțământ explicit din partea persoanei vizate. Direcționarea ar putea fi permisă, de asemenea, în contextul activităților legitime ale fundațiilor, asociațiilor sau organismelor non-profit cu scop politic, filozofic, religios sau sindical, atunci când vizează propriii membri. Pentru prima dată va fi obligatoriu să se includă în anunțurile publicitare informații clare care să arate pe baza căror elemente este vizată persoana în cauză și să se publice, printre altele, grupurile de persoane care au fost vizate, criteriile aplicate și instrumentele sau metodele de amplificare utilizate. Organizațiile care recurg la tehnici de direcționare și amplificare în materie de politică vor trebui să adopte, să aplice și să facă publică o politică internă privind utilizarea acestor tehnici. Pentru ca publicitatea politică să poată fi publicată, aceasta trebuie să îndeplinească toate cerințele în materie de transparență;</w:t>
      </w:r>
    </w:p>
    <w:p w14:paraId="28F18E9D" w14:textId="77777777" w:rsidR="001B2877" w:rsidRPr="00D5025E" w:rsidRDefault="001B2877" w:rsidP="00D5025E">
      <w:pPr>
        <w:numPr>
          <w:ilvl w:val="0"/>
          <w:numId w:val="23"/>
        </w:numPr>
        <w:ind w:left="0"/>
        <w:rPr>
          <w:color w:val="404040"/>
          <w:szCs w:val="18"/>
        </w:rPr>
      </w:pPr>
      <w:r w:rsidRPr="00D5025E">
        <w:rPr>
          <w:rStyle w:val="Strong"/>
          <w:color w:val="404040"/>
        </w:rPr>
        <w:t>impunerea de amenzi în cazul încălcării normelor</w:t>
      </w:r>
      <w:r w:rsidRPr="00D5025E">
        <w:rPr>
          <w:color w:val="404040"/>
          <w:szCs w:val="18"/>
        </w:rPr>
        <w:t>: statele membre vor avea obligația de a introduce amenzi eficace, proporționale și disuasive în cazul în care sunt încălcate normele privind transparența publicității politice. Conform regulamentului propus, autoritățile naționale pentru protecția datelor vor monitoriza în mod specific utilizarea datelor cu caracter personal în scopuri de direcționare politică și vor avea competența de a impune amenzi în concordanță cu normele UE privind protecția datelor.</w:t>
      </w:r>
    </w:p>
    <w:p w14:paraId="55F8DE73"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Actualizarea normelor UE privind partidele și fundațiile politice ale UE și privind drepturile electorale</w:t>
      </w:r>
    </w:p>
    <w:p w14:paraId="477AB6B5"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Comisia a propus, de asemenea, revizuirea normelor UE privind finanțarea partidelor și fundațiilor politice europene. Cadrul actual prezenta o serie de lacune, care împiedicau partidele și fundațiile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își desfășoare activitatea și să își îndeplinească misiunea de a face auzită vocea cetățenilor UE. Actualizările regulamentului urmăresc să faciliteze interacțiunile dintre partidele politice europene cu partidele membre naționale și la nivel transfrontalier, să sporească transparența, în special în ceea ce privește publicitatea politică și donațiile, să reducă sarcina administrativă excesivă și să îmbunătățească viabilitatea financiară a partidelor și fundațiilor politice europene.</w:t>
      </w:r>
    </w:p>
    <w:p w14:paraId="49C0268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În fine, Comisia a propus actualizarea normelor în vigoare ale UE privind alegerile europene și locale pentru cetățenii UE care își au reședința într-un alt stat membru decât statul lor de cetățenie („cetățenii mobili ai UE”). Deși există aproximativ 13</w:t>
      </w:r>
      <w:proofErr w:type="gramStart"/>
      <w:r w:rsidRPr="00D5025E">
        <w:rPr>
          <w:rFonts w:ascii="Verdana" w:hAnsi="Verdana"/>
          <w:color w:val="404040"/>
          <w:sz w:val="18"/>
          <w:szCs w:val="18"/>
        </w:rPr>
        <w:t>,5</w:t>
      </w:r>
      <w:proofErr w:type="gramEnd"/>
      <w:r w:rsidRPr="00D5025E">
        <w:rPr>
          <w:rFonts w:ascii="Verdana" w:hAnsi="Verdana"/>
          <w:color w:val="404040"/>
          <w:sz w:val="18"/>
          <w:szCs w:val="18"/>
        </w:rPr>
        <w:t xml:space="preserve"> milioane de astfel de cetățeni, foarte puțini își exercită dreptul de vot la alegerile europene și locale. În vederea asigurării unei participări favorabile incluziunii în perspectiva alegerilor europene din 2024, Comisia propune modificări specifice ale directivelor existente privind drepturile electorale, inclusiv, printre altele, obligația de a-i informa în mod proactiv pe acești cetățeni despre drepturile lor electorale, folosirea de modele standardizate pentru înregistrarea în calitate de alegători sau de candidați, precum și utilizarea unei limbi vorbite pe scară largă de cetățenii mobili ai UE care își au reședința pe teritoriu. Propunerea include, de asemenea, garanții pentru cetățenii mobili ai UE, menite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asigure că aceștia nu sunt eliminați de pe listele electorale din țara lor de origine.</w:t>
      </w:r>
    </w:p>
    <w:p w14:paraId="6B91FA27"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Etapele următoare</w:t>
      </w:r>
    </w:p>
    <w:p w14:paraId="5A369B75"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Propunerile urmează acum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fie discutate de către Parlamentul European și Consiliu. În vederea asigurării faptului că alegerile pentru Parlamentul European din 2024 se vor desfășura în conformitate cu cele mai ridicate standarde democratice, noile norme ar trebui să intre în vigoare și să fie pe deplin puse în aplicare de statele membre până în primăvara anului 2023, și anume cu un an înainte de alegeri.</w:t>
      </w:r>
    </w:p>
    <w:p w14:paraId="7BF6C9E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Context</w:t>
      </w:r>
    </w:p>
    <w:p w14:paraId="45AD2439"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În cadrul priorității sale privind un nou elan pentru democrația europeană, menționată în </w:t>
      </w:r>
      <w:hyperlink r:id="rId36" w:history="1">
        <w:r w:rsidRPr="00D5025E">
          <w:rPr>
            <w:rStyle w:val="Hyperlink"/>
            <w:rFonts w:cs="Arial"/>
            <w:color w:val="004494"/>
          </w:rPr>
          <w:t>orientările sale politice</w:t>
        </w:r>
      </w:hyperlink>
      <w:hyperlink r:id="rId37"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președinta </w:t>
      </w:r>
      <w:r w:rsidRPr="00D5025E">
        <w:rPr>
          <w:rStyle w:val="Strong"/>
          <w:color w:val="404040"/>
        </w:rPr>
        <w:t>von der Leyen</w:t>
      </w:r>
      <w:r w:rsidRPr="00D5025E">
        <w:rPr>
          <w:rFonts w:ascii="Verdana" w:hAnsi="Verdana"/>
          <w:color w:val="404040"/>
          <w:sz w:val="18"/>
          <w:szCs w:val="18"/>
        </w:rPr>
        <w:t> a anunțat propuneri legislative menite să asigure o transparență sporită în materie de publicitate politică plătită și norme mai clare referitoare la finanțarea partidelor politice europene.</w:t>
      </w:r>
    </w:p>
    <w:p w14:paraId="1E536F4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lastRenderedPageBreak/>
        <w:t>În cadrul </w:t>
      </w:r>
      <w:hyperlink r:id="rId38" w:history="1">
        <w:r w:rsidRPr="00D5025E">
          <w:rPr>
            <w:rStyle w:val="Hyperlink"/>
            <w:rFonts w:cs="Arial"/>
            <w:color w:val="004494"/>
          </w:rPr>
          <w:t>Planului de acțiune pentru democrația europeană</w:t>
        </w:r>
      </w:hyperlink>
      <w:hyperlink r:id="rId39"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adoptat în decembrie 2020, Comisia a prezentat prima sa evaluare a provocărilor generate de publicitatea politică și a aspectelor legate de noile tehnici utilizate pentru direcționarea publicității pe baza datelor cu caracter personal ale utilizatorilor. Indiferent dacă datele au fost obținute în mod legal sau nu, aceste tehnici pot fi utilizate în mod abuziv pentru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exploata vulnerabilitățile persoanelor vizate. Cetățenii UE au dreptul de a primi informații obiective, deschise și pluraliste. Acest aspect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deosebit de relevant, deoarece un </w:t>
      </w:r>
      <w:hyperlink r:id="rId40" w:history="1">
        <w:r w:rsidRPr="00D5025E">
          <w:rPr>
            <w:rStyle w:val="Hyperlink"/>
            <w:rFonts w:cs="Arial"/>
            <w:color w:val="004494"/>
          </w:rPr>
          <w:t>sondaj Eurobarometru</w:t>
        </w:r>
      </w:hyperlink>
      <w:r w:rsidRPr="00D5025E">
        <w:rPr>
          <w:rFonts w:ascii="Verdana" w:hAnsi="Verdana"/>
          <w:color w:val="404040"/>
          <w:sz w:val="18"/>
          <w:szCs w:val="18"/>
        </w:rPr>
        <w:t> recent a arătat că aproape patru din zece europeni au fost expuși la conținuturi în cazul cărora nu au putut stabili cu ușurință dacă erau sau nu anunțuri publicitare politice.</w:t>
      </w:r>
    </w:p>
    <w:p w14:paraId="01DFF49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Regulamentul propus se bazează pe legislația relevantă a UE, inclusiv pe </w:t>
      </w:r>
      <w:hyperlink r:id="rId41" w:history="1">
        <w:r w:rsidRPr="00D5025E">
          <w:rPr>
            <w:rStyle w:val="Hyperlink"/>
            <w:rFonts w:cs="Arial"/>
            <w:color w:val="004494"/>
          </w:rPr>
          <w:t>Regulamentul general privind protecția datelor</w:t>
        </w:r>
      </w:hyperlink>
      <w:hyperlink r:id="rId42"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(„RGPD”) și pe propunerea de </w:t>
      </w:r>
      <w:hyperlink r:id="rId43" w:history="1">
        <w:r w:rsidRPr="00D5025E">
          <w:rPr>
            <w:rStyle w:val="Hyperlink"/>
            <w:rFonts w:cs="Arial"/>
            <w:color w:val="004494"/>
          </w:rPr>
          <w:t>act legislativ privind serviciile digitale</w:t>
        </w:r>
      </w:hyperlink>
      <w:hyperlink r:id="rId44"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și completează această legislație. Odată adoptat, regulamentul propus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stabili norme cuprinzătoare privind transparența, răspunderea și conceperea sistemelor pentru publicitatea pe platformele online, inclusiv în materie de publicitate politică. Regulamentul propus va fi completat, de asemenea, de actualizarea codului de bune practici privind dezinformarea, un instrument de autoreglementare, pe baza </w:t>
      </w:r>
      <w:hyperlink r:id="rId45" w:anchor=":~:text=The%20Commission%20presented%20a%20Guidance%20to%20strengthen%20the,for%20a%20robust%20monitoring%20framework%20for%20its%20implementation." w:history="1">
        <w:r w:rsidRPr="00D5025E">
          <w:rPr>
            <w:rStyle w:val="Hyperlink"/>
            <w:rFonts w:cs="Arial"/>
            <w:color w:val="004494"/>
          </w:rPr>
          <w:t>orientărilor Comisiei</w:t>
        </w:r>
      </w:hyperlink>
      <w:hyperlink r:id="rId46"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publicate recent.</w:t>
      </w:r>
    </w:p>
    <w:p w14:paraId="07B6445B"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47" w:history="1">
        <w:r w:rsidRPr="00D5025E">
          <w:rPr>
            <w:rStyle w:val="Hyperlink"/>
            <w:rFonts w:cs="Arial"/>
            <w:color w:val="004494"/>
          </w:rPr>
          <w:t>Regulamentul privind statutul și finanțarea partidelor politice europene și a fundațiilor politice europene</w:t>
        </w:r>
      </w:hyperlink>
      <w:hyperlink r:id="rId48"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este un act legislativ recent, care a fost aplicat doar în cazul alegerilor din 2019 pentru Parlamentul European. Cu toate acestea, în actualul cadru de reglementare au fost identificate o serie de lacune care împiedică partidele și fundațiile politice europene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își îndeplinească misiunea de a contribui la crearea unui spațiu politic european. Prin urmare, Comisia prezintă astăzi o propunere de reformare a regulamentului menționat.</w:t>
      </w:r>
    </w:p>
    <w:p w14:paraId="76691D3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Cetățenii UE cu reședința în alt stat membru decât cel de origine – cetățenii mobili ai UE – au dreptul de a vota și de a candida la alegerile pentru Parlamentul European și la alegerile locale din statul membru de reședință. Cu toate acestea, prezența lor la vot este adesea mai scăzută decât cea a cetățenilor statului membru gazdă. Această situație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cauzată în parte de procedurile complicate de înregistrare într-un stat membru de reședință sau de lipsa de informații clare cu privire la drepturile lor. Acest fapt îngreunează exercitarea drepturilor de vot de către cetățenii mobili ai UE, ceea </w:t>
      </w:r>
      <w:proofErr w:type="gramStart"/>
      <w:r w:rsidRPr="00D5025E">
        <w:rPr>
          <w:rFonts w:ascii="Verdana" w:hAnsi="Verdana"/>
          <w:color w:val="404040"/>
          <w:sz w:val="18"/>
          <w:szCs w:val="18"/>
        </w:rPr>
        <w:t>ce</w:t>
      </w:r>
      <w:proofErr w:type="gramEnd"/>
      <w:r w:rsidRPr="00D5025E">
        <w:rPr>
          <w:rFonts w:ascii="Verdana" w:hAnsi="Verdana"/>
          <w:color w:val="404040"/>
          <w:sz w:val="18"/>
          <w:szCs w:val="18"/>
        </w:rPr>
        <w:t xml:space="preserve"> aduce atingere drepturilor lor democratice. Pentru a răspunde acestor preocupări, se propune actualizarea cadrului juridic aplicabil, și anume </w:t>
      </w:r>
      <w:hyperlink r:id="rId49" w:history="1">
        <w:r w:rsidRPr="00D5025E">
          <w:rPr>
            <w:rStyle w:val="Hyperlink"/>
            <w:rFonts w:cs="Arial"/>
            <w:color w:val="004494"/>
          </w:rPr>
          <w:t>Directiva privind dreptul de a alege și de a fi ales pentru Parlamentul European</w:t>
        </w:r>
      </w:hyperlink>
      <w:hyperlink r:id="rId50"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și </w:t>
      </w:r>
      <w:hyperlink r:id="rId51" w:history="1">
        <w:r w:rsidRPr="00D5025E">
          <w:rPr>
            <w:rStyle w:val="Hyperlink"/>
            <w:rFonts w:cs="Arial"/>
            <w:color w:val="004494"/>
          </w:rPr>
          <w:t>Directiva privind exercitarea dreptului de a alege și de a fi ales la alegerile locale</w:t>
        </w:r>
      </w:hyperlink>
      <w:hyperlink r:id="rId52"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w:t>
      </w:r>
    </w:p>
    <w:p w14:paraId="3991D23C"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Pentru informații suplimentare</w:t>
      </w:r>
    </w:p>
    <w:p w14:paraId="2A3B12A7" w14:textId="77777777" w:rsidR="001B2877" w:rsidRPr="00D5025E" w:rsidRDefault="001B2877" w:rsidP="00D5025E">
      <w:pPr>
        <w:pStyle w:val="NormalWeb"/>
        <w:spacing w:before="120" w:beforeAutospacing="0" w:after="0" w:afterAutospacing="0"/>
        <w:rPr>
          <w:rFonts w:ascii="Verdana" w:hAnsi="Verdana"/>
          <w:color w:val="404040"/>
          <w:sz w:val="16"/>
          <w:szCs w:val="18"/>
        </w:rPr>
      </w:pPr>
      <w:hyperlink r:id="rId53" w:history="1">
        <w:r w:rsidRPr="00D5025E">
          <w:rPr>
            <w:rStyle w:val="Hyperlink"/>
            <w:rFonts w:cs="Arial"/>
            <w:color w:val="004494"/>
            <w:sz w:val="16"/>
          </w:rPr>
          <w:t>Întrebări și răspunsuri referitoare la pachetul privind consolidarea democrației și a integrității alegerilor</w:t>
        </w:r>
      </w:hyperlink>
      <w:hyperlink r:id="rId54" w:history="1">
        <w:r w:rsidRPr="00D5025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D5025E">
          <w:rPr>
            <w:rStyle w:val="Hyperlink"/>
            <w:color w:val="AAAAAA"/>
            <w:sz w:val="16"/>
            <w:bdr w:val="single" w:sz="6" w:space="2" w:color="AAAAAA" w:frame="1"/>
            <w:shd w:val="clear" w:color="auto" w:fill="FFFFFF"/>
          </w:rPr>
          <w:t>EN</w:t>
        </w:r>
        <w:r w:rsidRPr="00D5025E">
          <w:rPr>
            <w:rStyle w:val="Hyperlink"/>
            <w:b/>
            <w:bCs/>
            <w:color w:val="CCCCCC"/>
            <w:sz w:val="16"/>
            <w:bdr w:val="single" w:sz="6" w:space="2" w:color="AAAAAA" w:frame="1"/>
            <w:shd w:val="clear" w:color="auto" w:fill="FFFFFF"/>
          </w:rPr>
          <w:t>•••</w:t>
        </w:r>
      </w:hyperlink>
    </w:p>
    <w:p w14:paraId="374755C1" w14:textId="77777777" w:rsidR="001B2877" w:rsidRPr="00D5025E" w:rsidRDefault="001B2877" w:rsidP="00D5025E">
      <w:pPr>
        <w:pStyle w:val="NormalWeb"/>
        <w:spacing w:before="120" w:beforeAutospacing="0" w:after="0" w:afterAutospacing="0"/>
        <w:rPr>
          <w:rFonts w:ascii="Verdana" w:hAnsi="Verdana"/>
          <w:color w:val="404040"/>
          <w:sz w:val="16"/>
          <w:szCs w:val="18"/>
        </w:rPr>
      </w:pPr>
      <w:hyperlink r:id="rId55" w:history="1">
        <w:r w:rsidRPr="00D5025E">
          <w:rPr>
            <w:rStyle w:val="Hyperlink"/>
            <w:rFonts w:cs="Arial"/>
            <w:color w:val="004494"/>
            <w:sz w:val="16"/>
          </w:rPr>
          <w:t>Fișă informativă privind democrația europeană: noi norme referitoare la transparență pentru publicitatea și direcționarea în materie de politică</w:t>
        </w:r>
      </w:hyperlink>
      <w:hyperlink r:id="rId56" w:history="1">
        <w:r w:rsidRPr="00D5025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D5025E">
          <w:rPr>
            <w:rStyle w:val="Hyperlink"/>
            <w:color w:val="AAAAAA"/>
            <w:sz w:val="16"/>
            <w:bdr w:val="single" w:sz="6" w:space="2" w:color="AAAAAA" w:frame="1"/>
            <w:shd w:val="clear" w:color="auto" w:fill="FFFFFF"/>
          </w:rPr>
          <w:t>EN</w:t>
        </w:r>
        <w:r w:rsidRPr="00D5025E">
          <w:rPr>
            <w:rStyle w:val="Hyperlink"/>
            <w:b/>
            <w:bCs/>
            <w:color w:val="CCCCCC"/>
            <w:sz w:val="16"/>
            <w:bdr w:val="single" w:sz="6" w:space="2" w:color="AAAAAA" w:frame="1"/>
            <w:shd w:val="clear" w:color="auto" w:fill="FFFFFF"/>
          </w:rPr>
          <w:t>•••</w:t>
        </w:r>
      </w:hyperlink>
    </w:p>
    <w:p w14:paraId="46B192B9" w14:textId="77777777" w:rsidR="001B2877" w:rsidRPr="00D5025E" w:rsidRDefault="001B2877" w:rsidP="00D5025E">
      <w:pPr>
        <w:pStyle w:val="NormalWeb"/>
        <w:spacing w:before="120" w:beforeAutospacing="0" w:after="0" w:afterAutospacing="0"/>
        <w:rPr>
          <w:rFonts w:ascii="Verdana" w:hAnsi="Verdana"/>
          <w:color w:val="404040"/>
          <w:sz w:val="16"/>
          <w:szCs w:val="18"/>
        </w:rPr>
      </w:pPr>
      <w:hyperlink r:id="rId57" w:history="1">
        <w:r w:rsidRPr="00D5025E">
          <w:rPr>
            <w:rStyle w:val="Hyperlink"/>
            <w:rFonts w:cs="Arial"/>
            <w:color w:val="004494"/>
            <w:sz w:val="16"/>
          </w:rPr>
          <w:t>Pagina web privind drepturile electorale – toate dosarele juridice și anexele</w:t>
        </w:r>
      </w:hyperlink>
      <w:hyperlink r:id="rId58" w:history="1">
        <w:r w:rsidRPr="00D5025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D5025E">
          <w:rPr>
            <w:rStyle w:val="Hyperlink"/>
            <w:color w:val="AAAAAA"/>
            <w:sz w:val="16"/>
            <w:bdr w:val="single" w:sz="6" w:space="2" w:color="AAAAAA" w:frame="1"/>
            <w:shd w:val="clear" w:color="auto" w:fill="FFFFFF"/>
          </w:rPr>
          <w:t>EN</w:t>
        </w:r>
        <w:r w:rsidRPr="00D5025E">
          <w:rPr>
            <w:rStyle w:val="Hyperlink"/>
            <w:b/>
            <w:bCs/>
            <w:color w:val="CCCCCC"/>
            <w:sz w:val="16"/>
            <w:bdr w:val="single" w:sz="6" w:space="2" w:color="AAAAAA" w:frame="1"/>
            <w:shd w:val="clear" w:color="auto" w:fill="FFFFFF"/>
          </w:rPr>
          <w:t>•••</w:t>
        </w:r>
      </w:hyperlink>
    </w:p>
    <w:p w14:paraId="2556933B"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59" w:history="1">
        <w:r w:rsidRPr="00D5025E">
          <w:rPr>
            <w:rStyle w:val="Hyperlink"/>
            <w:rFonts w:cs="Arial"/>
            <w:color w:val="004494"/>
            <w:sz w:val="16"/>
          </w:rPr>
          <w:t>Planul de acțiune pentru democrația europeană</w:t>
        </w:r>
      </w:hyperlink>
      <w:hyperlink r:id="rId60" w:history="1">
        <w:r w:rsidRPr="00D5025E">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D5025E">
          <w:rPr>
            <w:rStyle w:val="Hyperlink"/>
            <w:color w:val="AAAAAA"/>
            <w:sz w:val="16"/>
            <w:bdr w:val="single" w:sz="6" w:space="2" w:color="AAAAAA" w:frame="1"/>
            <w:shd w:val="clear" w:color="auto" w:fill="FFFFFF"/>
          </w:rPr>
          <w:t>RO</w:t>
        </w:r>
        <w:r w:rsidRPr="00D5025E">
          <w:rPr>
            <w:rStyle w:val="Hyperlink"/>
            <w:b/>
            <w:bCs/>
            <w:color w:val="CCCCCC"/>
            <w:sz w:val="16"/>
            <w:bdr w:val="single" w:sz="6" w:space="2" w:color="AAAAAA" w:frame="1"/>
            <w:shd w:val="clear" w:color="auto" w:fill="FFFFFF"/>
          </w:rPr>
          <w:t>•••</w:t>
        </w:r>
      </w:hyperlink>
    </w:p>
    <w:p w14:paraId="2CB9E515" w14:textId="5C7FCA2F" w:rsidR="001B2877" w:rsidRPr="00D5025E" w:rsidRDefault="001B2877" w:rsidP="00D5025E">
      <w:pPr>
        <w:pStyle w:val="separatorarticole"/>
      </w:pPr>
      <w:r w:rsidRPr="00D5025E">
        <w:t>*</w:t>
      </w:r>
    </w:p>
    <w:p w14:paraId="2D3DE1D3" w14:textId="77777777" w:rsidR="001B2877" w:rsidRPr="00D5025E" w:rsidRDefault="001B2877" w:rsidP="00D5025E">
      <w:pPr>
        <w:pStyle w:val="TitluArticolinINFOUE"/>
        <w:rPr>
          <w:lang w:eastAsia="ro-RO"/>
        </w:rPr>
      </w:pPr>
      <w:bookmarkStart w:id="150" w:name="_Toc89334247"/>
      <w:r w:rsidRPr="00D5025E">
        <w:lastRenderedPageBreak/>
        <w:t>UE propune includerea pe o listă neagră a operatorilor de transport implicați în facilitarea introducerii ilegale de persoane sau a traficului de persoane</w:t>
      </w:r>
      <w:bookmarkEnd w:id="150"/>
    </w:p>
    <w:p w14:paraId="3A0D19FE" w14:textId="77777777" w:rsidR="001B2877" w:rsidRPr="00D5025E" w:rsidRDefault="001B2877"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UE propune includerea pe o listă neagră a operatorilor de transport implicați în facilitarea introducerii ilegale de persoane sau a traficului de persoane.</w:t>
      </w:r>
    </w:p>
    <w:p w14:paraId="72C1C4ED" w14:textId="4504150B" w:rsidR="001B2877" w:rsidRPr="00D5025E" w:rsidRDefault="001B2877" w:rsidP="00933B9F">
      <w:pPr>
        <w:rPr>
          <w:color w:val="404040"/>
          <w:szCs w:val="18"/>
        </w:rPr>
      </w:pPr>
      <w:r w:rsidRPr="00D5025E">
        <w:rPr>
          <w:noProof/>
          <w:szCs w:val="18"/>
          <w:lang w:eastAsia="ro-RO"/>
        </w:rPr>
        <w:drawing>
          <wp:anchor distT="0" distB="0" distL="114300" distR="114300" simplePos="0" relativeHeight="252021760" behindDoc="0" locked="0" layoutInCell="1" allowOverlap="1" wp14:anchorId="2DC0B74A" wp14:editId="3D30F8C5">
            <wp:simplePos x="0" y="0"/>
            <wp:positionH relativeFrom="column">
              <wp:posOffset>2540</wp:posOffset>
            </wp:positionH>
            <wp:positionV relativeFrom="paragraph">
              <wp:posOffset>73660</wp:posOffset>
            </wp:positionV>
            <wp:extent cx="2590800" cy="1937218"/>
            <wp:effectExtent l="0" t="0" r="0" b="6350"/>
            <wp:wrapSquare wrapText="bothSides"/>
            <wp:docPr id="44" name="Picture 44" descr="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rde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1937218"/>
                    </a:xfrm>
                    <a:prstGeom prst="rect">
                      <a:avLst/>
                    </a:prstGeom>
                    <a:noFill/>
                    <a:ln>
                      <a:noFill/>
                    </a:ln>
                  </pic:spPr>
                </pic:pic>
              </a:graphicData>
            </a:graphic>
          </wp:anchor>
        </w:drawing>
      </w:r>
      <w:r w:rsidRPr="00D5025E">
        <w:rPr>
          <w:color w:val="404040"/>
          <w:szCs w:val="18"/>
        </w:rPr>
        <w:t xml:space="preserve">Ca parte a răspunsului unitar al Uniunii </w:t>
      </w:r>
      <w:r w:rsidR="00933B9F">
        <w:rPr>
          <w:color w:val="404040"/>
          <w:szCs w:val="18"/>
        </w:rPr>
        <w:t>E</w:t>
      </w:r>
      <w:r w:rsidRPr="00D5025E">
        <w:rPr>
          <w:color w:val="404040"/>
          <w:szCs w:val="18"/>
        </w:rPr>
        <w:t xml:space="preserve">uropene la instrumentalizarea susținută de stat a persoanelor aflate la frontiera externă a UE cu Belarus, Comisia și Înaltul Reprezentant propun astăzi o serie de măsuri de prevenire și restricționare a activităților operatorilor de transport care sunt implicați în introducerea ilegală de persoane sau în traficul de persoane către UE sau facilitează aceste activități. Se va adăuga astfel un nou instrument la setul de instrumente de care dispune UE pentru a sprijini statele membre afectate de astfel de atacuri hibride. Măsurile luate în cadrul acestui instrument ar trebui </w:t>
      </w:r>
      <w:proofErr w:type="gramStart"/>
      <w:r w:rsidRPr="00D5025E">
        <w:rPr>
          <w:color w:val="404040"/>
          <w:szCs w:val="18"/>
        </w:rPr>
        <w:t>să</w:t>
      </w:r>
      <w:proofErr w:type="gramEnd"/>
      <w:r w:rsidRPr="00D5025E">
        <w:rPr>
          <w:color w:val="404040"/>
          <w:szCs w:val="18"/>
        </w:rPr>
        <w:t xml:space="preserve"> fie însoțite de alte forme de ajutor, în special de asistență umanitară. .</w:t>
      </w:r>
    </w:p>
    <w:p w14:paraId="0EACBCA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Președinta Comisiei Europene, Ursula </w:t>
      </w:r>
      <w:r w:rsidRPr="00D5025E">
        <w:rPr>
          <w:rStyle w:val="Strong"/>
          <w:color w:val="404040"/>
        </w:rPr>
        <w:t>von der Leyen</w:t>
      </w:r>
      <w:r w:rsidRPr="00D5025E">
        <w:rPr>
          <w:rFonts w:ascii="Verdana" w:hAnsi="Verdana"/>
          <w:color w:val="404040"/>
          <w:sz w:val="18"/>
          <w:szCs w:val="18"/>
        </w:rPr>
        <w:t>, a declarat: </w:t>
      </w:r>
      <w:r w:rsidRPr="00D5025E">
        <w:rPr>
          <w:rStyle w:val="Emphasis"/>
          <w:color w:val="404040"/>
        </w:rPr>
        <w:t>„Încercările de a destabiliza UE prin instrumentalizarea oamenilor nu vor funcționa. UE este unită și întreprinde diverse acțiuni pentru a rezolva situația de la frontierele externe ale UE cu Belarus. Așa cum am anunțat prima oară în urmă cu două săptămâni, prezentăm astăzi o nouă propunere vizând includerea pe o listă neagră a operatorilor de transport implicați în introducerea ilegală de persoane sau în traficul de persoane către UE. Nu vom accepta niciodată exploatarea ființelor umane în scopuri politice.”</w:t>
      </w:r>
    </w:p>
    <w:p w14:paraId="13CDEC39"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Măsuri specifice pentru operatorii de transport care facilitează sau care sunt implicați în activități de introducere ilegală de persoane</w:t>
      </w:r>
    </w:p>
    <w:p w14:paraId="5DEBF7DC"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Evenimentele recente de la frontiera UE cu Belarus nu ar fi putut avea loc fără ca anumiți operatori de transport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contribuie, în cunoștință sau necunoștință de cauză, la exploatarea persoanelor. Pe plan umanitar, tributul plătit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enorm, iar costurile pentru securitatea la frontierele externe ale UE și stabilitatea din regiune sunt ridicate.</w:t>
      </w:r>
    </w:p>
    <w:p w14:paraId="409092C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Pentru a se asigura că UE dispune de instrumentele adecvate pentru a combate instrumentalizarea oamenilor în scopuri politice, Comisia propune un </w:t>
      </w:r>
      <w:r w:rsidRPr="00D5025E">
        <w:rPr>
          <w:rStyle w:val="Strong"/>
          <w:color w:val="404040"/>
        </w:rPr>
        <w:t>nou cadru legislativ care să permită Uniunii să adopte măsuri specifice împotriva operatorilor de transport</w:t>
      </w:r>
      <w:r w:rsidRPr="00D5025E">
        <w:rPr>
          <w:rFonts w:ascii="Verdana" w:hAnsi="Verdana"/>
          <w:color w:val="404040"/>
          <w:sz w:val="18"/>
          <w:szCs w:val="18"/>
        </w:rPr>
        <w:t>, indiferent de modul de transport (terestru, aerian, pe căile navigabile interioare și pe mare), </w:t>
      </w:r>
      <w:r w:rsidRPr="00D5025E">
        <w:rPr>
          <w:rStyle w:val="Strong"/>
          <w:color w:val="404040"/>
        </w:rPr>
        <w:t>care sunt implicați în activități de introducere ilegală de persoane sau de trafic de persoane către Uniunea Europeană sau care facilitează aceste activități.</w:t>
      </w:r>
      <w:r w:rsidRPr="00D5025E">
        <w:rPr>
          <w:rFonts w:ascii="Verdana" w:hAnsi="Verdana"/>
          <w:color w:val="404040"/>
          <w:sz w:val="18"/>
          <w:szCs w:val="18"/>
        </w:rPr>
        <w:t> Măsurile ar urma să fie proporționale și stabilite de la caz la caz. Printre tipurile de măsuri s-ar putea număra limitarea operațiunilor pe piața Uniunii, suspendarea licențelor sau a autorizațiilor, suspendarea drepturilor de a realimenta cu combustibil sau de a efectua activități de întreținere pe teritoriul UE, precum și interdicția de a tranzita sau de a survola teritoriul UE, de a efectua opriri tehnice sau de a face escală în porturile UE.</w:t>
      </w:r>
    </w:p>
    <w:p w14:paraId="055ADC2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Acțiunea diplomatică și externă</w:t>
      </w:r>
    </w:p>
    <w:p w14:paraId="09BD203C"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La 15 noiembrie, Consiliul Afaceri Externe al UE a decis să extindă </w:t>
      </w:r>
      <w:r w:rsidRPr="00D5025E">
        <w:rPr>
          <w:rStyle w:val="Strong"/>
          <w:color w:val="404040"/>
        </w:rPr>
        <w:t>regimul de sancțiuni</w:t>
      </w:r>
      <w:r w:rsidRPr="00D5025E">
        <w:rPr>
          <w:rFonts w:ascii="Verdana" w:hAnsi="Verdana"/>
          <w:color w:val="404040"/>
          <w:sz w:val="18"/>
          <w:szCs w:val="18"/>
        </w:rPr>
        <w:t xml:space="preserve"> al UE aplicabil Belarusului în scopul de a viza persoanele și entitățile care organizează sau care participă la instrumentalizarea persoanelor, inclusiv companiile aeriene, agențiile de voiaj și alți intermediari. S-a ajuns la </w:t>
      </w:r>
      <w:proofErr w:type="gramStart"/>
      <w:r w:rsidRPr="00D5025E">
        <w:rPr>
          <w:rFonts w:ascii="Verdana" w:hAnsi="Verdana"/>
          <w:color w:val="404040"/>
          <w:sz w:val="18"/>
          <w:szCs w:val="18"/>
        </w:rPr>
        <w:t>un</w:t>
      </w:r>
      <w:proofErr w:type="gramEnd"/>
      <w:r w:rsidRPr="00D5025E">
        <w:rPr>
          <w:rFonts w:ascii="Verdana" w:hAnsi="Verdana"/>
          <w:color w:val="404040"/>
          <w:sz w:val="18"/>
          <w:szCs w:val="18"/>
        </w:rPr>
        <w:t xml:space="preserve"> acord politic cu privire la un al cincilea pachet de înscrieri pe listă în scopul de a aborda situația de la frontieră și de a combate traficul de persoane și represiunea continuă din Belarus. Aceste măsuri sunt luate în urma deciziei UE din 9 noiembrie 2021 de a suspenda parțial Acordul UE-Belarus de </w:t>
      </w:r>
      <w:r w:rsidRPr="00D5025E">
        <w:rPr>
          <w:rStyle w:val="Strong"/>
          <w:color w:val="404040"/>
        </w:rPr>
        <w:t>facilitare a eliberării vizelor</w:t>
      </w:r>
      <w:r w:rsidRPr="00D5025E">
        <w:rPr>
          <w:rFonts w:ascii="Verdana" w:hAnsi="Verdana"/>
          <w:color w:val="404040"/>
          <w:sz w:val="18"/>
          <w:szCs w:val="18"/>
        </w:rPr>
        <w:t>, astfel încât beneficiile acordului respectiv să nu se aplice funcționarilor guvernamentali din Belarus.</w:t>
      </w:r>
    </w:p>
    <w:p w14:paraId="378A63A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De la începutul crizei, UE construiește o coaliție mondială care se opune practicii lipsite de scrupule de a instrumentaliza oameni, urmând o abordare de tip TeamEurope, care se bazează pe o combinație de atuuri la nivel diplomatic ale statelor membre și ale UE, inclusiv prin deplasările Înaltului Reprezentant/vicepreședintelui </w:t>
      </w:r>
      <w:r w:rsidRPr="00D5025E">
        <w:rPr>
          <w:rStyle w:val="Strong"/>
          <w:color w:val="404040"/>
        </w:rPr>
        <w:t>Borrell</w:t>
      </w:r>
      <w:r w:rsidRPr="00D5025E">
        <w:rPr>
          <w:rFonts w:ascii="Verdana" w:hAnsi="Verdana"/>
          <w:color w:val="404040"/>
          <w:sz w:val="18"/>
          <w:szCs w:val="18"/>
        </w:rPr>
        <w:t>. În ultimele săptămâni, vicepreședintele </w:t>
      </w:r>
      <w:r w:rsidRPr="00D5025E">
        <w:rPr>
          <w:rStyle w:val="Strong"/>
          <w:color w:val="404040"/>
        </w:rPr>
        <w:t>Schinas</w:t>
      </w:r>
      <w:r w:rsidRPr="00D5025E">
        <w:rPr>
          <w:rFonts w:ascii="Verdana" w:hAnsi="Verdana"/>
          <w:color w:val="404040"/>
          <w:sz w:val="18"/>
          <w:szCs w:val="18"/>
        </w:rPr>
        <w:t xml:space="preserve">, în coordonare </w:t>
      </w:r>
      <w:r w:rsidRPr="00D5025E">
        <w:rPr>
          <w:rFonts w:ascii="Verdana" w:hAnsi="Verdana"/>
          <w:color w:val="404040"/>
          <w:sz w:val="18"/>
          <w:szCs w:val="18"/>
        </w:rPr>
        <w:lastRenderedPageBreak/>
        <w:t>cu Înaltul Reprezentant/vicepreședintele </w:t>
      </w:r>
      <w:r w:rsidRPr="00D5025E">
        <w:rPr>
          <w:rStyle w:val="Strong"/>
          <w:color w:val="404040"/>
        </w:rPr>
        <w:t>Borrell</w:t>
      </w:r>
      <w:r w:rsidRPr="00D5025E">
        <w:rPr>
          <w:rFonts w:ascii="Verdana" w:hAnsi="Verdana"/>
          <w:color w:val="404040"/>
          <w:sz w:val="18"/>
          <w:szCs w:val="18"/>
        </w:rPr>
        <w:t xml:space="preserve">, a călătorit în principalele țări de origine și de tranzit pentru a le solicita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ia măsurile necesare pentru a-i feri pe resortisanții lor de capcana pusă la cale de autoritățile belaruse. Angajamentul neîntrerupt al UE a dat rezultate. Mai multe țări de origine și de tranzit au suspendat zborurile către Belarus și au înăsprit controalele de securitate aplicate pasagerilor în aeroporturi. În urma discuțiilor dintre Înaltul Reprezentant, dl </w:t>
      </w:r>
      <w:r w:rsidRPr="00D5025E">
        <w:rPr>
          <w:rStyle w:val="Strong"/>
          <w:color w:val="404040"/>
        </w:rPr>
        <w:t>Borrell</w:t>
      </w:r>
      <w:r w:rsidRPr="00D5025E">
        <w:rPr>
          <w:rFonts w:ascii="Verdana" w:hAnsi="Verdana"/>
          <w:color w:val="404040"/>
          <w:sz w:val="18"/>
          <w:szCs w:val="18"/>
        </w:rPr>
        <w:t>, și ministrul afacerilor externe al Belarusului, Serviciul European de Acțiune Externă și Comisia au inițiat discuții tehnice cu agențiile ONU (UNHCR și OIM) și cu omologii din Belarus la nivel operativ pentru a facilita repatrierea migranților de pe teritoriul Belarusului.</w:t>
      </w:r>
    </w:p>
    <w:p w14:paraId="531CFC6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Multe dintre persoanele instrumentalizate de regimul din Belarus în această criză sunt irakiene. UE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angajată într-o cooperare intensă cu Irakul. Zborurile directe dinspre Bagdad către Belarus au fost suspendate în august, iar apoi au fost oprite și zborurile dinspre Erbil care tranzitează țări terțe către Belarus. Irakul organizează, cu sprijinul UE, zboruri de repatriere pentru irakieni și urmează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fie acordată asistență financiară suplimentară pentru reintegrarea acestora în Irak. </w:t>
      </w:r>
    </w:p>
    <w:p w14:paraId="1A0C620D"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Manipularea informațiilor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un instrument esențial utilizat pentru a-i înșela pe oameni, pentru a crea promisiuni false și, prin urmare, pentru a-i instrumentaliza. Situația a fost exploatată de diverși actori care au organizat o vastă campanie de dezinformare cu scopul de a discredita reputația internațională a UE. Serviciul European de Acțiune Externă a luat măsuri pentru a combate informațiile false și înșelătoare din mediul online, iar delegațiile UE din țările din care provin majoritatea celor care au fost ademeniți către Belarus au desfășurat activități de comunicare specifice.</w:t>
      </w:r>
    </w:p>
    <w:p w14:paraId="681A43A5"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Intensificarea asistenței umanitare</w:t>
      </w:r>
    </w:p>
    <w:p w14:paraId="52A1F040"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UE a alocat </w:t>
      </w:r>
      <w:r w:rsidRPr="00D5025E">
        <w:rPr>
          <w:rStyle w:val="Strong"/>
          <w:color w:val="404040"/>
        </w:rPr>
        <w:t>700 000 EUR sub formă de asistență umanitară</w:t>
      </w:r>
      <w:r w:rsidRPr="00D5025E">
        <w:rPr>
          <w:rFonts w:ascii="Verdana" w:hAnsi="Verdana"/>
          <w:color w:val="404040"/>
          <w:sz w:val="18"/>
          <w:szCs w:val="18"/>
        </w:rPr>
        <w:t xml:space="preserve"> pentru refugiații și migranții vulnerabili blocați în Belarus, la frontiere și în interiorul țării, din care 200 000 EUR vor sprijini imediat Federația Internațională a Societăților de Cruce Roșie și Semilună Roșie (FISCR), ca parte a contribuției globale a UE la Fondul de urgență pentru ajutor în caz de dezastre, gestionat de FISRC. Această finanțare din partea UE ajută FISCR și societatea </w:t>
      </w:r>
      <w:proofErr w:type="gramStart"/>
      <w:r w:rsidRPr="00D5025E">
        <w:rPr>
          <w:rFonts w:ascii="Verdana" w:hAnsi="Verdana"/>
          <w:color w:val="404040"/>
          <w:sz w:val="18"/>
          <w:szCs w:val="18"/>
        </w:rPr>
        <w:t>sa</w:t>
      </w:r>
      <w:proofErr w:type="gramEnd"/>
      <w:r w:rsidRPr="00D5025E">
        <w:rPr>
          <w:rFonts w:ascii="Verdana" w:hAnsi="Verdana"/>
          <w:color w:val="404040"/>
          <w:sz w:val="18"/>
          <w:szCs w:val="18"/>
        </w:rPr>
        <w:t xml:space="preserve"> de la nivel național, Crucea Roșie din Belarus, să ofere asistența de urgență atât de necesară, inclusiv alimente, truse de igienă, pături și truse de prim ajutor. O sumă suplimentară de 500 000 EUR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mobilizată pentru asistență umanitară suplimentară care urmează să fie pusă în aplicare pe teren de organizațiile partenere ale UE.</w:t>
      </w:r>
    </w:p>
    <w:p w14:paraId="298AA2E4"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Comisia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pregătită să ofere finanțare umanitară suplimentară ca răspuns la nevoi umanitare stabilite în mod clar, în cazul în care accesul în Belarus al organizațiilor umanitare partenere continuă să se îmbunătățească. Asistența umanitară acordată de UE se bazează pe principiile umanitare internaționale. </w:t>
      </w:r>
    </w:p>
    <w:p w14:paraId="4697BDEC"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Sprijin pentru gestionarea frontierelor și a migrației</w:t>
      </w:r>
    </w:p>
    <w:p w14:paraId="465DF04F"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De la începutul crizei, UE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oferit sprijin imediat Letoniei, Lituaniei și Poloniei pentru gestionarea frontierelor, sub formă de finanțare de urgență, detașare de experți și asistență în natură din partea țărilor europene în cadrul mecanismului de protecție civilă. În urma vizitei comisarului </w:t>
      </w:r>
      <w:r w:rsidRPr="00D5025E">
        <w:rPr>
          <w:rStyle w:val="Strong"/>
          <w:color w:val="404040"/>
        </w:rPr>
        <w:t>Johansson</w:t>
      </w:r>
      <w:r w:rsidRPr="00D5025E">
        <w:rPr>
          <w:rFonts w:ascii="Verdana" w:hAnsi="Verdana"/>
          <w:color w:val="404040"/>
          <w:sz w:val="18"/>
          <w:szCs w:val="18"/>
        </w:rPr>
        <w:t> în Lituania, Comisia a acordat Lituaniei fonduri UE în valoare de </w:t>
      </w:r>
      <w:r w:rsidRPr="00D5025E">
        <w:rPr>
          <w:rStyle w:val="Strong"/>
          <w:color w:val="404040"/>
        </w:rPr>
        <w:t>36,7 milioane EUR</w:t>
      </w:r>
      <w:r w:rsidRPr="00D5025E">
        <w:rPr>
          <w:rFonts w:ascii="Verdana" w:hAnsi="Verdana"/>
          <w:color w:val="404040"/>
          <w:sz w:val="18"/>
          <w:szCs w:val="18"/>
        </w:rPr>
        <w:t> pentru a sprijini punerea în aplicare a procedurilor de azil și pentru a asigura condiții de primire, inclusiv pentru persoanele vulnerabile. Comisia a coordonat asistența din partea a 19 state membre și a Norvegiei, constând în corturi, paturi, sisteme de încălzire, generatoare electrice, așternut, rații alimentare și alte tipuri de asistență în natură. </w:t>
      </w:r>
      <w:r w:rsidRPr="00D5025E">
        <w:rPr>
          <w:rStyle w:val="Strong"/>
          <w:color w:val="404040"/>
        </w:rPr>
        <w:t>Rețeaua aferentă mecanismului UE de pregătire pentru situații de criză și de gestionare a crizelor legate de migrație</w:t>
      </w:r>
      <w:r w:rsidRPr="00D5025E">
        <w:rPr>
          <w:rFonts w:ascii="Verdana" w:hAnsi="Verdana"/>
          <w:color w:val="404040"/>
          <w:sz w:val="18"/>
          <w:szCs w:val="18"/>
        </w:rPr>
        <w:t> (rețeaua Blueprint) se reunește săptămânal pentru a oferi o analiză a situației și o coordonare de înaltă calitate în scopul elaborării unui răspuns eficace. </w:t>
      </w:r>
      <w:r w:rsidRPr="00D5025E">
        <w:rPr>
          <w:rStyle w:val="Strong"/>
          <w:color w:val="404040"/>
        </w:rPr>
        <w:t>Agențiile UE din domeniul afacerilor interne</w:t>
      </w:r>
      <w:r w:rsidRPr="00D5025E">
        <w:rPr>
          <w:rFonts w:ascii="Verdana" w:hAnsi="Verdana"/>
          <w:color w:val="404040"/>
          <w:sz w:val="18"/>
          <w:szCs w:val="18"/>
        </w:rPr>
        <w:t> au fost, de asemenea, mobilizate începând cu luna iulie: membri ai personalului acestora sunt prezenți în cele trei state membre menționate și au fost trimise echipamente în Lituania și Letonia.</w:t>
      </w:r>
    </w:p>
    <w:p w14:paraId="1CD8DDE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Comisia poartă dialoguri cu Letonia, Lituania și Polonia cu privire la nevoile financiare și operaționale și pune la dispoziție încă 200 de milioane EUR pentru gestionarea frontierelor. Sprijinul suplimentar din partea agențiilor ar putea include intervenția rapidă la frontieră și/sau intervenția pentru returnare din partea Frontex și a Biroului European de Sprijin pentru Azil în cadrul gestionării migrației, precum și primirea adecvată.</w:t>
      </w:r>
    </w:p>
    <w:p w14:paraId="46C64455"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Comisia, Frontex și OIM colaborează cu Lituania pentru a consolida capacitățile de returnare prin intermediul schimburilor de orientări și de bune practici și prin acțiuni de informare și sensibilizare adresate țărilor terțe pentru ca acestea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sprijine readmisia. Polonia a solicitat, de asemenea, sprijin </w:t>
      </w:r>
      <w:r w:rsidRPr="00D5025E">
        <w:rPr>
          <w:rFonts w:ascii="Verdana" w:hAnsi="Verdana"/>
          <w:color w:val="404040"/>
          <w:sz w:val="18"/>
          <w:szCs w:val="18"/>
        </w:rPr>
        <w:lastRenderedPageBreak/>
        <w:t>din partea Frontex pentru efectuarea returnărilor. De asemenea, Comisia va furniza până la </w:t>
      </w:r>
      <w:r w:rsidRPr="00D5025E">
        <w:rPr>
          <w:rStyle w:val="Strong"/>
          <w:color w:val="404040"/>
        </w:rPr>
        <w:t>3</w:t>
      </w:r>
      <w:proofErr w:type="gramStart"/>
      <w:r w:rsidRPr="00D5025E">
        <w:rPr>
          <w:rStyle w:val="Strong"/>
          <w:color w:val="404040"/>
        </w:rPr>
        <w:t>,5</w:t>
      </w:r>
      <w:proofErr w:type="gramEnd"/>
      <w:r w:rsidRPr="00D5025E">
        <w:rPr>
          <w:rStyle w:val="Strong"/>
          <w:color w:val="404040"/>
        </w:rPr>
        <w:t> milioane EUR pentru a sprijini returnările voluntare din Belarus</w:t>
      </w:r>
      <w:r w:rsidRPr="00D5025E">
        <w:rPr>
          <w:rFonts w:ascii="Verdana" w:hAnsi="Verdana"/>
          <w:color w:val="404040"/>
          <w:sz w:val="18"/>
          <w:szCs w:val="18"/>
        </w:rPr>
        <w:t xml:space="preserve"> către țările de origine. Centrul </w:t>
      </w:r>
      <w:proofErr w:type="gramStart"/>
      <w:r w:rsidRPr="00D5025E">
        <w:rPr>
          <w:rFonts w:ascii="Verdana" w:hAnsi="Verdana"/>
          <w:color w:val="404040"/>
          <w:sz w:val="18"/>
          <w:szCs w:val="18"/>
        </w:rPr>
        <w:t>european</w:t>
      </w:r>
      <w:proofErr w:type="gramEnd"/>
      <w:r w:rsidRPr="00D5025E">
        <w:rPr>
          <w:rFonts w:ascii="Verdana" w:hAnsi="Verdana"/>
          <w:color w:val="404040"/>
          <w:sz w:val="18"/>
          <w:szCs w:val="18"/>
        </w:rPr>
        <w:t xml:space="preserve"> privind introducerea ilegală de migranți din cadrul Europol sprijină anchetele penale și facilitează schimbul de informații. Punerea în aplicare integrală a </w:t>
      </w:r>
      <w:hyperlink r:id="rId62" w:history="1">
        <w:r w:rsidRPr="00D5025E">
          <w:rPr>
            <w:rStyle w:val="Hyperlink"/>
            <w:rFonts w:cs="Arial"/>
            <w:color w:val="004494"/>
          </w:rPr>
          <w:t>Planului de acțiune al UE de combatere a introducerii ilegale de migranți pentru perioada 2021</w:t>
        </w:r>
        <w:r w:rsidRPr="00D5025E">
          <w:rPr>
            <w:rStyle w:val="Hyperlink"/>
            <w:rFonts w:cs="Arial"/>
            <w:color w:val="004494"/>
          </w:rPr>
          <w:softHyphen/>
          <w:t>2025</w:t>
        </w:r>
      </w:hyperlink>
      <w:hyperlink r:id="rId63"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va oferi un răspuns mai eficace la instrumentalizarea persoanelor în scopuri politice și la necesitatea de a gestiona frontierele externe ale UE în astfel de situații.</w:t>
      </w:r>
    </w:p>
    <w:p w14:paraId="3F38410D"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În plus, Comisia lucrează la o propunere de măsuri provizorii în domeniul azilului și returnării, în temeiul </w:t>
      </w:r>
      <w:hyperlink r:id="rId64" w:history="1">
        <w:r w:rsidRPr="00D5025E">
          <w:rPr>
            <w:rStyle w:val="Hyperlink"/>
            <w:rFonts w:cs="Arial"/>
            <w:color w:val="004494"/>
          </w:rPr>
          <w:t>articolului 78 alineatul (3) din Tratatul privind funcționarea Uniunii Europene</w:t>
        </w:r>
      </w:hyperlink>
      <w:hyperlink r:id="rId65"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Această propunere dă curs invitației adresate Comisiei de către Consiliul European de a propune orice modificări necesare ale cadrului juridic al UE și măsuri concrete pentru a asigura un răspuns imediat și adecvat, în conformitate cu dreptul UE și cu obligațiile internaționale. De asemenea, propunerea răspunde unei solicitări din partea statelor membre afectate care își doresc să se poată baza pe măsuri provizorii pentru a face față în mod eficace situației de urgență în materie de migrație de la frontierele externe ale UE.</w:t>
      </w:r>
    </w:p>
    <w:p w14:paraId="6C24773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Declarațiile membrilor colegiului:</w:t>
      </w:r>
    </w:p>
    <w:p w14:paraId="4DFDB37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Josep</w:t>
      </w:r>
      <w:r w:rsidRPr="00D5025E">
        <w:rPr>
          <w:rStyle w:val="Strong"/>
          <w:color w:val="404040"/>
        </w:rPr>
        <w:t> Borrell</w:t>
      </w:r>
      <w:r w:rsidRPr="00D5025E">
        <w:rPr>
          <w:rFonts w:ascii="Verdana" w:hAnsi="Verdana"/>
          <w:color w:val="404040"/>
          <w:sz w:val="18"/>
          <w:szCs w:val="18"/>
        </w:rPr>
        <w:t>, Înaltul Reprezentant al Uniunii pentru afaceri externe și politica de securitate / vicepreședintele Comisiei Europene, a declarat: </w:t>
      </w:r>
      <w:r w:rsidRPr="00D5025E">
        <w:rPr>
          <w:rStyle w:val="Emphasis"/>
          <w:color w:val="404040"/>
        </w:rPr>
        <w:t>„Regimul din Belarus încearcă să distragă atenția de la situația îngrozitoare de pe plan intern, profitând de suferința oamenilor și împingându-i către frontierele UE. Aceste acțiuni nu vor reuși. Ca răspuns, am extins regimul de sancțiuni și adoptăm în prezent un alt pachet de măsuri împotriva autorilor acestui atac hibrid din partea regimului Lukașenko. Împreună cu agențiile ONU, vom oferi ajutor umanitar celor care au nevoie de acest ajutor. Vom continua contactele diplomatice cu partenerii noștri. UE are o atitudine fermă împotriva acestui atac hibrid.”</w:t>
      </w:r>
    </w:p>
    <w:p w14:paraId="18DA070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Vicepreședintele pentru promovarea modului nostru de viață european, Margaritis </w:t>
      </w:r>
      <w:r w:rsidRPr="00D5025E">
        <w:rPr>
          <w:rStyle w:val="Strong"/>
          <w:color w:val="404040"/>
        </w:rPr>
        <w:t>Schinas</w:t>
      </w:r>
      <w:r w:rsidRPr="00D5025E">
        <w:rPr>
          <w:rFonts w:ascii="Verdana" w:hAnsi="Verdana"/>
          <w:color w:val="404040"/>
          <w:sz w:val="18"/>
          <w:szCs w:val="18"/>
        </w:rPr>
        <w:t>, a declarat:</w:t>
      </w:r>
      <w:r w:rsidRPr="00D5025E">
        <w:rPr>
          <w:rStyle w:val="Emphasis"/>
          <w:color w:val="404040"/>
        </w:rPr>
        <w:t> „Regimul din Belarus, împreună cu rețelele internaționale de introducere ilegală de persoane, vând minciuni unor oameni obișnuiți. Ceea ce se întâmplă la frontierele noastre nu este o chestiune legată de migrație, ci una legată de securitate, iar UE arată că va fi nezdruncinată în răspunsul pe care îl va da. Datorită acțiunii hotărâte și cuprinzătoare a UE, împreună cu partenerii noștri, încep să se facă simțite îmbunătățiri. Mecanismul de includere pe o listă neagră pe care îl propunem astăzi este o altă expresie tangibilă a voinței noastre de a acționa cu fermitate. Problema cu care ne confruntăm este globală și trebuie să construim o coaliție internațională împotriva utilizării oamenilor ca pioni în jocul politic.”</w:t>
      </w:r>
    </w:p>
    <w:p w14:paraId="7F4CD050"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Comisarul pentru afaceri interne, Ylva </w:t>
      </w:r>
      <w:r w:rsidRPr="00D5025E">
        <w:rPr>
          <w:rStyle w:val="Strong"/>
          <w:color w:val="404040"/>
        </w:rPr>
        <w:t>Johansson</w:t>
      </w:r>
      <w:r w:rsidRPr="00D5025E">
        <w:rPr>
          <w:rFonts w:ascii="Verdana" w:hAnsi="Verdana"/>
          <w:color w:val="404040"/>
          <w:sz w:val="18"/>
          <w:szCs w:val="18"/>
        </w:rPr>
        <w:t>, a declarat: </w:t>
      </w:r>
      <w:r w:rsidRPr="00D5025E">
        <w:rPr>
          <w:rStyle w:val="Emphasis"/>
          <w:color w:val="404040"/>
        </w:rPr>
        <w:t>„Pentru a ne proteja frontierele și pentru a-i proteja pe oameni, închidem operațiunile de călătorie fără autorizație ale regimului Lukașenko. Pentru a ajunge în Europa, ruta viabilă este o cale trasată în mod legal, nu un drum prin pădure parcurs în mod ilegal. Pe termen lung, avem nevoie de un sistem european de migrație și azil echitabil și eficace, capabil să răspundă diferitelor situații care pot surveni. Acest lucru subliniază necesitatea unui nou Pact privind migrația și azilul.”</w:t>
      </w:r>
    </w:p>
    <w:p w14:paraId="40E08A6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Janez </w:t>
      </w:r>
      <w:r w:rsidRPr="00D5025E">
        <w:rPr>
          <w:rStyle w:val="Strong"/>
          <w:color w:val="404040"/>
        </w:rPr>
        <w:t>Lenarčič</w:t>
      </w:r>
      <w:r w:rsidRPr="00D5025E">
        <w:rPr>
          <w:rFonts w:ascii="Verdana" w:hAnsi="Verdana"/>
          <w:color w:val="404040"/>
          <w:sz w:val="18"/>
          <w:szCs w:val="18"/>
        </w:rPr>
        <w:t>, comisarul pentru ajutor umanitar și gestionarea crizelor, a declarat: </w:t>
      </w:r>
      <w:r w:rsidRPr="00D5025E">
        <w:rPr>
          <w:rStyle w:val="Emphasis"/>
          <w:color w:val="404040"/>
        </w:rPr>
        <w:t xml:space="preserve">„UE își sprijină partenerii din domeniul umanitar pentru </w:t>
      </w:r>
      <w:proofErr w:type="gramStart"/>
      <w:r w:rsidRPr="00D5025E">
        <w:rPr>
          <w:rStyle w:val="Emphasis"/>
          <w:color w:val="404040"/>
        </w:rPr>
        <w:t>a</w:t>
      </w:r>
      <w:proofErr w:type="gramEnd"/>
      <w:r w:rsidRPr="00D5025E">
        <w:rPr>
          <w:rStyle w:val="Emphasis"/>
          <w:color w:val="404040"/>
        </w:rPr>
        <w:t xml:space="preserve"> oferi ajutorul atât de necesar persoanelor rămase blocate la frontieră și în alte părți ale Belarusului. Întrucât iarna se apropie, trebuie să asigurăm accesul neîntrerupt al organizațiilor umanitare din ambele părți, astfel încât acestea să poată ajunge la acest grup vulnerabil de persoane.” </w:t>
      </w:r>
    </w:p>
    <w:p w14:paraId="012B005E"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Adina </w:t>
      </w:r>
      <w:r w:rsidRPr="00D5025E">
        <w:rPr>
          <w:rStyle w:val="Strong"/>
          <w:color w:val="404040"/>
        </w:rPr>
        <w:t>Vălean</w:t>
      </w:r>
      <w:r w:rsidRPr="00D5025E">
        <w:rPr>
          <w:rFonts w:ascii="Verdana" w:hAnsi="Verdana"/>
          <w:color w:val="404040"/>
          <w:sz w:val="18"/>
          <w:szCs w:val="18"/>
        </w:rPr>
        <w:t>, comisarul pentru transporturi, a declarat: </w:t>
      </w:r>
      <w:r w:rsidRPr="00D5025E">
        <w:rPr>
          <w:rStyle w:val="Emphasis"/>
          <w:color w:val="404040"/>
        </w:rPr>
        <w:t xml:space="preserve">„Cooperarea strânsă și imediată la care am asistat din partea comunității aviatice mondiale în ultimele săptămâni arată că </w:t>
      </w:r>
      <w:proofErr w:type="gramStart"/>
      <w:r w:rsidRPr="00D5025E">
        <w:rPr>
          <w:rStyle w:val="Emphasis"/>
          <w:color w:val="404040"/>
        </w:rPr>
        <w:t>este</w:t>
      </w:r>
      <w:proofErr w:type="gramEnd"/>
      <w:r w:rsidRPr="00D5025E">
        <w:rPr>
          <w:rStyle w:val="Emphasis"/>
          <w:color w:val="404040"/>
        </w:rPr>
        <w:t xml:space="preserve"> esențial ca operatorii de transport să fie implicați îndeaproape în prevenirea și combaterea acestei noi forme de amenințare hibridă. Noua noastră propunere privind o serie de măsuri care vizează operatorii de transport ce facilitează sau desfășoară activități de introducere ilegală de persoane ne va oferi un instrument puternic de acțiune în cazul în care operatorii încearcă să obțină beneficii de pe urma exploatării oamenilor.”</w:t>
      </w:r>
    </w:p>
    <w:p w14:paraId="69B9D34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Comisarul pentru vecinătate și extindere, Olivér </w:t>
      </w:r>
      <w:r w:rsidRPr="00D5025E">
        <w:rPr>
          <w:rStyle w:val="Strong"/>
          <w:color w:val="404040"/>
        </w:rPr>
        <w:t>Várhelyi</w:t>
      </w:r>
      <w:r w:rsidRPr="00D5025E">
        <w:rPr>
          <w:rFonts w:ascii="Verdana" w:hAnsi="Verdana"/>
          <w:color w:val="404040"/>
          <w:sz w:val="18"/>
          <w:szCs w:val="18"/>
        </w:rPr>
        <w:t>, a declarat: </w:t>
      </w:r>
      <w:r w:rsidRPr="00D5025E">
        <w:rPr>
          <w:rStyle w:val="Emphasis"/>
          <w:color w:val="404040"/>
        </w:rPr>
        <w:t xml:space="preserve">„Instrumentalizarea susținută de stat a mii de migranți și atacul împotriva UE și a statelor sale membre sunt inacceptabile și trebuie </w:t>
      </w:r>
      <w:proofErr w:type="gramStart"/>
      <w:r w:rsidRPr="00D5025E">
        <w:rPr>
          <w:rStyle w:val="Emphasis"/>
          <w:color w:val="404040"/>
        </w:rPr>
        <w:t>să</w:t>
      </w:r>
      <w:proofErr w:type="gramEnd"/>
      <w:r w:rsidRPr="00D5025E">
        <w:rPr>
          <w:rStyle w:val="Emphasis"/>
          <w:color w:val="404040"/>
        </w:rPr>
        <w:t xml:space="preserve"> ia </w:t>
      </w:r>
      <w:r w:rsidRPr="00D5025E">
        <w:rPr>
          <w:rStyle w:val="Emphasis"/>
          <w:color w:val="404040"/>
        </w:rPr>
        <w:lastRenderedPageBreak/>
        <w:t>sfârșit. Așa cum arată propunerile noastre publicate astăzi, această situație are consecințe. Nu acceptăm șantajul regimului Lukașenko. Vom oferi sprijin oamenilor care sunt prinși în stratagemele acestui regim. În același timp, continuăm să fim alături de poporul belarus și să sprijinim aspirațiile sale democratice.”</w:t>
      </w:r>
    </w:p>
    <w:p w14:paraId="18EBA01E"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Context</w:t>
      </w:r>
    </w:p>
    <w:p w14:paraId="226A62DC"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UE în ansamblul său este pusă la încercare, mai ales Lituania, Polonia și Letonia, care, începând din această vară, s-au confruntat cu o nouă amenințare insidioasă sub forma instrumentalizării unor persoane disperate. Aceasta a fost inițiată și organizată de regimul Lukașenko, care i-</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ademenit pe oameni la graniță, cu cooperarea persoanelor care introduc ilegal migranți și a rețelelor infracționale.</w:t>
      </w:r>
    </w:p>
    <w:p w14:paraId="665F6218"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Acțiunile Belarusului au accelerat o criză umanitară. Bărbați, femei și copii au fost blocați într-o pădure întinsă, la temperaturi care au scăzut sub zero grade. Mai mulți oameni, dintre care și copii, și-au pierdut viața. Situația s-a agravat la 8 noiembrie, când 2 000 de persoane au rămas blocate la frontieră. În urma unor acțiuni diplomatice intense, UE a trimis ajutor umanitar și colaborează în prezent cu agențiile ONU pentru a sprijini evacuările. Belarus a transportat persoane într-un depozit încălzit din tabăra improvizată la frontieră.</w:t>
      </w:r>
    </w:p>
    <w:p w14:paraId="74431A3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Pentru mai multe Informații</w:t>
      </w:r>
    </w:p>
    <w:p w14:paraId="4D50C415"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66" w:history="1">
        <w:r w:rsidRPr="00D5025E">
          <w:rPr>
            <w:rStyle w:val="Hyperlink"/>
            <w:rFonts w:cs="Arial"/>
            <w:color w:val="004494"/>
          </w:rPr>
          <w:t>Comunicare: Răspunsul la instrumentalizarea migranților susținută de stat la frontiera externă a UE</w:t>
        </w:r>
      </w:hyperlink>
      <w:hyperlink r:id="rId67"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p>
    <w:p w14:paraId="2E7F4441"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68" w:history="1">
        <w:r w:rsidRPr="00D5025E">
          <w:rPr>
            <w:rStyle w:val="Hyperlink"/>
            <w:rFonts w:cs="Arial"/>
            <w:color w:val="004494"/>
          </w:rPr>
          <w:t>Propunere privind includerea pe o listă neagră a operatorilor de transport care sunt implicați în introducerea ilegală de persoane </w:t>
        </w:r>
      </w:hyperlink>
      <w:hyperlink r:id="rId69"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w:t>
      </w:r>
    </w:p>
    <w:p w14:paraId="636A374B"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70" w:history="1">
        <w:r w:rsidRPr="00D5025E">
          <w:rPr>
            <w:rStyle w:val="Hyperlink"/>
            <w:rFonts w:cs="Arial"/>
            <w:color w:val="004494"/>
          </w:rPr>
          <w:t>NOTĂ DE INFORMARE: UE propune măsuri împotriva operatorilor de transport implicați în traficul de persoane sau introducerea ilegală de migranți pe teritoriul UE</w:t>
        </w:r>
      </w:hyperlink>
      <w:hyperlink r:id="rId71"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p>
    <w:p w14:paraId="7CD83599"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72" w:history="1">
        <w:r w:rsidRPr="00D5025E">
          <w:rPr>
            <w:rStyle w:val="Hyperlink"/>
            <w:rFonts w:cs="Arial"/>
            <w:color w:val="004494"/>
          </w:rPr>
          <w:t>Fișă informativă: Răspunsul la instrumentalizarea migranților susținută de stat la frontiera externă a UE</w:t>
        </w:r>
      </w:hyperlink>
      <w:hyperlink r:id="rId73"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p>
    <w:p w14:paraId="0D8D2A5E"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74" w:history="1">
        <w:r w:rsidRPr="00D5025E">
          <w:rPr>
            <w:rStyle w:val="Hyperlink"/>
            <w:rFonts w:cs="Arial"/>
            <w:color w:val="004494"/>
          </w:rPr>
          <w:t>Acțiunea UE vizând includerea pe o listă neagră a operatorilor de transport care desfășoară activități de trafic de persoane sau de introducere ilegală de persoane în UE</w:t>
        </w:r>
      </w:hyperlink>
    </w:p>
    <w:p w14:paraId="7B9F0E51"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75" w:history="1">
        <w:r w:rsidRPr="00D5025E">
          <w:rPr>
            <w:rStyle w:val="Hyperlink"/>
            <w:rFonts w:cs="Arial"/>
            <w:color w:val="004494"/>
          </w:rPr>
          <w:t>Fișă informativă: Sprijin de urgență din partea UE pentru migrație și gestionarea frontierelor</w:t>
        </w:r>
      </w:hyperlink>
      <w:hyperlink r:id="rId76"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p>
    <w:p w14:paraId="1FF54625"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77" w:history="1">
        <w:r w:rsidRPr="00D5025E">
          <w:rPr>
            <w:rStyle w:val="Hyperlink"/>
            <w:rFonts w:cs="Arial"/>
            <w:color w:val="004494"/>
          </w:rPr>
          <w:t>Rapoartele EUvsDisinfo</w:t>
        </w:r>
      </w:hyperlink>
    </w:p>
    <w:p w14:paraId="2F39B6EF" w14:textId="21935894" w:rsidR="001B2877" w:rsidRPr="00933B9F" w:rsidRDefault="001B2877" w:rsidP="00933B9F">
      <w:pPr>
        <w:pStyle w:val="separatorarticole"/>
      </w:pPr>
      <w:r w:rsidRPr="00933B9F">
        <w:t>*</w:t>
      </w:r>
    </w:p>
    <w:p w14:paraId="1D64A887" w14:textId="77777777" w:rsidR="001B2877" w:rsidRPr="00D5025E" w:rsidRDefault="001B2877" w:rsidP="00933B9F">
      <w:pPr>
        <w:pStyle w:val="TitluArticolinINFOUE"/>
        <w:rPr>
          <w:lang w:eastAsia="ro-RO"/>
        </w:rPr>
      </w:pPr>
      <w:bookmarkStart w:id="151" w:name="_Toc89334248"/>
      <w:r w:rsidRPr="00D5025E">
        <w:t>Semestrul european, pachetul de toamnă: să ieșim mai puternici din criză și să facem Europa mai ecologică și mai digitală</w:t>
      </w:r>
      <w:bookmarkEnd w:id="151"/>
    </w:p>
    <w:p w14:paraId="39A2008F" w14:textId="77777777" w:rsidR="001B2877" w:rsidRPr="00D5025E" w:rsidRDefault="001B2877"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Comisia Europeană a lansat astăzi, 24 noiembrie, ciclul de coordonare a politicilor economice din cadrul semestrului european 2022.</w:t>
      </w:r>
    </w:p>
    <w:p w14:paraId="6815B9A5" w14:textId="2BCF1394" w:rsidR="001B2877" w:rsidRPr="00D5025E" w:rsidRDefault="001B2877" w:rsidP="00933B9F">
      <w:pPr>
        <w:rPr>
          <w:color w:val="404040"/>
          <w:szCs w:val="18"/>
        </w:rPr>
      </w:pPr>
      <w:r w:rsidRPr="00D5025E">
        <w:rPr>
          <w:noProof/>
          <w:szCs w:val="18"/>
          <w:lang w:eastAsia="ro-RO"/>
        </w:rPr>
        <w:drawing>
          <wp:anchor distT="0" distB="0" distL="114300" distR="114300" simplePos="0" relativeHeight="252022784" behindDoc="0" locked="0" layoutInCell="1" allowOverlap="1" wp14:anchorId="5BA09068" wp14:editId="61B65B07">
            <wp:simplePos x="0" y="0"/>
            <wp:positionH relativeFrom="column">
              <wp:posOffset>2540</wp:posOffset>
            </wp:positionH>
            <wp:positionV relativeFrom="paragraph">
              <wp:posOffset>74930</wp:posOffset>
            </wp:positionV>
            <wp:extent cx="1879313" cy="1257300"/>
            <wp:effectExtent l="0" t="0" r="6985" b="0"/>
            <wp:wrapSquare wrapText="bothSides"/>
            <wp:docPr id="43" name="Picture 43" descr="Semestrul 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mestrul europe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79313" cy="1257300"/>
                    </a:xfrm>
                    <a:prstGeom prst="rect">
                      <a:avLst/>
                    </a:prstGeom>
                    <a:noFill/>
                    <a:ln>
                      <a:noFill/>
                    </a:ln>
                  </pic:spPr>
                </pic:pic>
              </a:graphicData>
            </a:graphic>
          </wp:anchor>
        </w:drawing>
      </w:r>
      <w:r w:rsidRPr="00D5025E">
        <w:rPr>
          <w:color w:val="404040"/>
          <w:szCs w:val="18"/>
        </w:rPr>
        <w:t>Comisia Europeană a lansat astăzi ciclul de coordonare a politicilor economice din cadrul semestrului european 2022. Pachetul de toamnă al semestrului european include Analiza anuală privind creșterea durabilă, avizele privind proiectele de planuri bugetare (PPB) ale statelor membre din zona euro pentru 2022, recomandările de politică pentru zona euro și propunerea Comisiei de raport comun privind ocuparea forței de muncă.</w:t>
      </w:r>
    </w:p>
    <w:p w14:paraId="247FEF5F"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Pachetul se bazează pe </w:t>
      </w:r>
      <w:hyperlink r:id="rId79" w:history="1">
        <w:r w:rsidRPr="00D5025E">
          <w:rPr>
            <w:rStyle w:val="Hyperlink"/>
            <w:rFonts w:cs="Arial"/>
            <w:color w:val="004494"/>
          </w:rPr>
          <w:t>previziunile economice din toamna anului 2021</w:t>
        </w:r>
      </w:hyperlink>
      <w:hyperlink r:id="rId80"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potrivit cărora economia europeană trece de la redresare la expansiune, dar se confruntă în prezent cu noi dificultăți.</w:t>
      </w:r>
    </w:p>
    <w:p w14:paraId="5B0ECFB9"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lastRenderedPageBreak/>
        <w:t>Măsuri în cadrul Pactului de stabilitate și de creștere în ceea ce privește România</w:t>
      </w:r>
    </w:p>
    <w:p w14:paraId="6243DF98"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Din aprilie 2020, </w:t>
      </w:r>
      <w:hyperlink r:id="rId81" w:history="1">
        <w:r w:rsidRPr="00D5025E">
          <w:rPr>
            <w:rStyle w:val="Hyperlink"/>
            <w:rFonts w:cs="Arial"/>
            <w:color w:val="004494"/>
          </w:rPr>
          <w:t>România face obiectul unei proceduri de deficit excesiv</w:t>
        </w:r>
      </w:hyperlink>
      <w:hyperlink r:id="rId82"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(PDE), ca urmare a încălcării în 2019 a pragului de deficit prevăzut în tratat. În iunie 2021, Consiliul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adoptat o nouă recomandare adresată României pentru a pune capăt deficitului public excesiv până cel târziu în 2024.</w:t>
      </w:r>
    </w:p>
    <w:p w14:paraId="60E5BFEE"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Întrucât obiectivul intermediar pentru 2021 a fost atins, Comisia consideră că, în acest moment, nu sunt necesare măsuri suplimentare în cadrul procedurii de deficit excesiv pentru România. Comisia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reevalua situația bugetară a României de îndată ce noul guvern va prezenta un buget pentru 2022 și o strategie bugetară pe termen mediu.</w:t>
      </w:r>
      <w:r w:rsidRPr="00D5025E">
        <w:rPr>
          <w:rFonts w:ascii="Verdana" w:hAnsi="Verdana"/>
          <w:color w:val="404040"/>
          <w:sz w:val="18"/>
          <w:szCs w:val="18"/>
        </w:rPr>
        <w:br/>
        <w:t> </w:t>
      </w:r>
    </w:p>
    <w:p w14:paraId="6900F502"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Analiza anuală privind creșterea durabilă</w:t>
      </w:r>
    </w:p>
    <w:p w14:paraId="64C44EF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În acest an, Analiza anuală privind creșterea durabilă prezintă o agendă ambițioasă pentru 2022, care orientează UE de la gestionarea situației de criză către o redresare sustenabilă și echitabilă, care consolidează reziliența economiei UE. Analiza stabilește totodată modul în care Mecanismul de redresare și reziliență (MRR), elementul central al </w:t>
      </w:r>
      <w:hyperlink r:id="rId83" w:history="1">
        <w:r w:rsidRPr="00D5025E">
          <w:rPr>
            <w:rStyle w:val="Hyperlink"/>
            <w:rFonts w:cs="Arial"/>
            <w:color w:val="004494"/>
          </w:rPr>
          <w:t>NextGenerationEU</w:t>
        </w:r>
      </w:hyperlink>
      <w:hyperlink r:id="rId84"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fi integrat mai profund în noul ciclu al semestrului european. Acest lucru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permite crearea unor sinergii între cele două procese și evitarea sarcinilor administrative inutile pentru statele membre. În plus, Analiza anuală privind creșterea durabilă stabilește modul în care obiectivele de dezvoltare durabilă (ODD) vor fi integrate într-o măsură și mai mare în semestrul </w:t>
      </w:r>
      <w:proofErr w:type="gramStart"/>
      <w:r w:rsidRPr="00D5025E">
        <w:rPr>
          <w:rFonts w:ascii="Verdana" w:hAnsi="Verdana"/>
          <w:color w:val="404040"/>
          <w:sz w:val="18"/>
          <w:szCs w:val="18"/>
        </w:rPr>
        <w:t>european</w:t>
      </w:r>
      <w:proofErr w:type="gramEnd"/>
      <w:r w:rsidRPr="00D5025E">
        <w:rPr>
          <w:rFonts w:ascii="Verdana" w:hAnsi="Verdana"/>
          <w:color w:val="404040"/>
          <w:sz w:val="18"/>
          <w:szCs w:val="18"/>
        </w:rPr>
        <w:t xml:space="preserve"> pentru a furniza rapoarte pe deplin actualizate și coerente cu privire la ODD în toate statele membre.</w:t>
      </w:r>
    </w:p>
    <w:p w14:paraId="5A16B352"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85" w:history="1">
        <w:r w:rsidRPr="00D5025E">
          <w:rPr>
            <w:rStyle w:val="Hyperlink"/>
            <w:rFonts w:cs="Arial"/>
            <w:color w:val="004494"/>
          </w:rPr>
          <w:t>Mecanismul de redresare și reziliență</w:t>
        </w:r>
      </w:hyperlink>
      <w:hyperlink r:id="rId86"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cu un buget de 723,8 miliarde EUR sub formă de granturi și împrumuturi, va avea un rol central în construirea unei economii reziliente, bazate pe echitate. Datorită integrării priorităților UE în MRR, semestrul </w:t>
      </w:r>
      <w:proofErr w:type="gramStart"/>
      <w:r w:rsidRPr="00D5025E">
        <w:rPr>
          <w:rFonts w:ascii="Verdana" w:hAnsi="Verdana"/>
          <w:color w:val="404040"/>
          <w:sz w:val="18"/>
          <w:szCs w:val="18"/>
        </w:rPr>
        <w:t>european</w:t>
      </w:r>
      <w:proofErr w:type="gramEnd"/>
      <w:r w:rsidRPr="00D5025E">
        <w:rPr>
          <w:rFonts w:ascii="Verdana" w:hAnsi="Verdana"/>
          <w:color w:val="404040"/>
          <w:sz w:val="18"/>
          <w:szCs w:val="18"/>
        </w:rPr>
        <w:t xml:space="preserve"> va orienta mai bine statele membre către reușita tranziției verzi și a celei digitale și către construirea unei economii a UE mai reziliente.</w:t>
      </w:r>
    </w:p>
    <w:p w14:paraId="33EA3D3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Până astăzi, Comisia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aprobat 22 de planuri naționale de redresare și reziliență, iar Consiliul le-a aprobat pe toate. Astfel, începând din august 2021, au fost deblocate plăți de prefinanțare în valoare de 52</w:t>
      </w:r>
      <w:proofErr w:type="gramStart"/>
      <w:r w:rsidRPr="00D5025E">
        <w:rPr>
          <w:rFonts w:ascii="Verdana" w:hAnsi="Verdana"/>
          <w:color w:val="404040"/>
          <w:sz w:val="18"/>
          <w:szCs w:val="18"/>
        </w:rPr>
        <w:t>,3</w:t>
      </w:r>
      <w:proofErr w:type="gramEnd"/>
      <w:r w:rsidRPr="00D5025E">
        <w:rPr>
          <w:rFonts w:ascii="Verdana" w:hAnsi="Verdana"/>
          <w:color w:val="404040"/>
          <w:sz w:val="18"/>
          <w:szCs w:val="18"/>
        </w:rPr>
        <w:t xml:space="preserve"> miliarde EUR pentru 17 state membre. În ansamblu, planurile aprobate de Consiliu până în prezent reprezintă 291 de miliarde EUR sub formă de granturi și 154 de miliarde EUR sub formă de împrumuturi. În prezent, accentul se pune pe implementarea practică a planurilor de redresare.</w:t>
      </w:r>
    </w:p>
    <w:p w14:paraId="3C3B141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Plățile de prefinanțare din cadrul MRR au început deja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furnizeze contribuții valoroase pentru cele patru dimensiuni ale sustenabilității competitive prezentate în Analiza anuală privind creșterea durabilă: durabilitatea mediului, productivitatea, echitatea și stabilitatea macroeconomică.</w:t>
      </w:r>
    </w:p>
    <w:p w14:paraId="417E772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Comisia invită totodată statele membre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se asigure că reformele și investițiile naționale reflectă prioritățile identificate în Analiza anuală privind creșterea durabilă.</w:t>
      </w:r>
    </w:p>
    <w:p w14:paraId="2BAE8B08"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Avize privind proiectele de planuri bugetare ale statelor membre din zona euro</w:t>
      </w:r>
    </w:p>
    <w:p w14:paraId="621886A6"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87" w:history="1">
        <w:r w:rsidRPr="00D5025E">
          <w:rPr>
            <w:rStyle w:val="Hyperlink"/>
            <w:rFonts w:cs="Arial"/>
            <w:color w:val="004494"/>
          </w:rPr>
          <w:t>Avizele Comisiei privind proiectele de planuri bugetare pentru 2022</w:t>
        </w:r>
      </w:hyperlink>
      <w:hyperlink r:id="rId88"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se bazează pe recomandările de politică bugetară adoptate de Consiliu în iunie 2021. Acestea țin cont de continuarea aplicării în 2022 a clauzei derogatorii generale din Pactul de stabilitate și de creștere.</w:t>
      </w:r>
    </w:p>
    <w:p w14:paraId="61F278D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În prezent, statele membre pun capăt măsurilor de urgență temporare și își concentrează din </w:t>
      </w:r>
      <w:proofErr w:type="gramStart"/>
      <w:r w:rsidRPr="00D5025E">
        <w:rPr>
          <w:rFonts w:ascii="Verdana" w:hAnsi="Verdana"/>
          <w:color w:val="404040"/>
          <w:sz w:val="18"/>
          <w:szCs w:val="18"/>
        </w:rPr>
        <w:t>ce</w:t>
      </w:r>
      <w:proofErr w:type="gramEnd"/>
      <w:r w:rsidRPr="00D5025E">
        <w:rPr>
          <w:rFonts w:ascii="Verdana" w:hAnsi="Verdana"/>
          <w:color w:val="404040"/>
          <w:sz w:val="18"/>
          <w:szCs w:val="18"/>
        </w:rPr>
        <w:t xml:space="preserve"> în ce mai mult măsurile pe sprijinirea redresării. În 2022, granturile din cadrul MRR vor finanța 24 % din totalul măsurilor de sprijin pentru redresare. Absorbția granturilor acordate prin MRR urmează să fie concentrată la începutul perioadei: se preconizează că statele membre vor cheltui peste 40 % din cuantumul total al granturilor acordate în cadrul MRR, în așteptarea deciziei de plată în urma atingerii jaloanelor și a țintelor. Investițiile finanțate la nivel național ar urma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fie menținute, cel puțin în linii mari, în 2022 în toate statele membre, conform recomandării Consiliului.</w:t>
      </w:r>
    </w:p>
    <w:p w14:paraId="2E13284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lastRenderedPageBreak/>
        <w:t xml:space="preserve">Se preconizează că orientarea bugetară a zonei euro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fi expansionistă în perioada 2020-2022. Contribuția pozitivă a investițiilor publice și a altor cheltuieli de capital finanțate atât din bugetul național, cât și din bugetul UE este importantă, dar principalul motor al expansiunii bugetare în 2021 și 2022 este reprezentat de cheltuielile primare curente nete finanțate la nivel național. În mai multe state membre, inclusiv în unele state membre cu </w:t>
      </w:r>
      <w:proofErr w:type="gramStart"/>
      <w:r w:rsidRPr="00D5025E">
        <w:rPr>
          <w:rFonts w:ascii="Verdana" w:hAnsi="Verdana"/>
          <w:color w:val="404040"/>
          <w:sz w:val="18"/>
          <w:szCs w:val="18"/>
        </w:rPr>
        <w:t>un</w:t>
      </w:r>
      <w:proofErr w:type="gramEnd"/>
      <w:r w:rsidRPr="00D5025E">
        <w:rPr>
          <w:rFonts w:ascii="Verdana" w:hAnsi="Verdana"/>
          <w:color w:val="404040"/>
          <w:sz w:val="18"/>
          <w:szCs w:val="18"/>
        </w:rPr>
        <w:t xml:space="preserve"> nivel ridicat al datoriei, orientarea bugetară favorabilă preconizată va fi determinată de o creștere a cheltuielilor curente finanțate la nivel național sau de reduceri ale impozitelor nefinanțate. În unele cazuri, se preconizează că acest lucru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avea un impact considerabil asupra poziției bugetare de bază. În aproximativ </w:t>
      </w:r>
      <w:proofErr w:type="gramStart"/>
      <w:r w:rsidRPr="00D5025E">
        <w:rPr>
          <w:rFonts w:ascii="Verdana" w:hAnsi="Verdana"/>
          <w:color w:val="404040"/>
          <w:sz w:val="18"/>
          <w:szCs w:val="18"/>
        </w:rPr>
        <w:t>un</w:t>
      </w:r>
      <w:proofErr w:type="gramEnd"/>
      <w:r w:rsidRPr="00D5025E">
        <w:rPr>
          <w:rFonts w:ascii="Verdana" w:hAnsi="Verdana"/>
          <w:color w:val="404040"/>
          <w:sz w:val="18"/>
          <w:szCs w:val="18"/>
        </w:rPr>
        <w:t xml:space="preserve"> sfert dintre statele membre, orientarea bugetară favorabilă ar urma să fie determinată de investiții, finanțate atât la nivel național, cât și de UE.</w:t>
      </w:r>
    </w:p>
    <w:p w14:paraId="2FFCE08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Recomandarea privind zona euro și Raportul privind mecanismul de alertă</w:t>
      </w:r>
    </w:p>
    <w:p w14:paraId="133F098B"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89" w:history="1">
        <w:r w:rsidRPr="00D5025E">
          <w:rPr>
            <w:rStyle w:val="Hyperlink"/>
            <w:rFonts w:cs="Arial"/>
            <w:color w:val="004494"/>
          </w:rPr>
          <w:t>Recomandarea privind politica economică a zonei euro</w:t>
        </w:r>
      </w:hyperlink>
      <w:hyperlink r:id="rId90"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adresează îndrumări personalizate statelor membre din zona euro cu privire la aspectele care afectează funcționarea zonei euro în ansamblu. Statelor membre din zona euro li se recomandă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ia măsuri în perioada 2022-2023, individual și colectiv, în cadrul Eurogrupului, pentru a continua să utilizeze și să coordoneze politicile bugetare naționale astfel încât să sprijine în mod eficace o redresare sustenabilă. Recomandarea solicită menținerea unei orientări bugetare moderat favorabile în 2022 în întreaga zonă euro și orientarea treptată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măsurilor de politică bugetară către investiții care promovează o redresare rezilientă și sustenabilă. De asemenea, recomandarea subliniază importanța tranziției de la măsuri de urgență la măsuri de redresare pe piețele forței de muncă prin asigurarea unor politici active eficace privind piața muncii, în conformitate cu Recomandarea Comisiei privind un sprijin activ eficace pentru ocuparea forței de muncă în urma crizei provocate de pandemia de COVID-19 (EASE). Statele membre din zona euro ar trebui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mențină o politică bugetară flexibilă pentru a putea reacționa în cazul reapariției riscurilor de pandemie. Atunci când condițiile economice vor permite acest lucru, statele membre din zona euro ar trebui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urmărească politici bugetare care să ducă la obținerea unor poziții bugetare prudente pe termen mediu și la asigurarea sustenabilității datoriei, consolidând totodată investițiile. De asemenea, în recomandare se solicită continuarea lucrărilor pentru finalizarea uniunii bancare, consolidarea rolului internațional al monedei euro și sprijinirea procesului de creare a unei monede euro digitale.</w:t>
      </w:r>
    </w:p>
    <w:p w14:paraId="745DD330"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91" w:history="1">
        <w:r w:rsidRPr="00D5025E">
          <w:rPr>
            <w:rStyle w:val="Hyperlink"/>
            <w:rFonts w:cs="Arial"/>
            <w:color w:val="004494"/>
          </w:rPr>
          <w:t>Raportul privind mecanismul de alertă</w:t>
        </w:r>
      </w:hyperlink>
      <w:hyperlink r:id="rId92"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(RMA) este un instrument de examinare pentru detectarea potențialelor dezechilibre macroeconomice. RMA din acest </w:t>
      </w:r>
      <w:proofErr w:type="gramStart"/>
      <w:r w:rsidRPr="00D5025E">
        <w:rPr>
          <w:rFonts w:ascii="Verdana" w:hAnsi="Verdana"/>
          <w:color w:val="404040"/>
          <w:sz w:val="18"/>
          <w:szCs w:val="18"/>
        </w:rPr>
        <w:t>an</w:t>
      </w:r>
      <w:proofErr w:type="gramEnd"/>
      <w:r w:rsidRPr="00D5025E">
        <w:rPr>
          <w:rFonts w:ascii="Verdana" w:hAnsi="Verdana"/>
          <w:color w:val="404040"/>
          <w:sz w:val="18"/>
          <w:szCs w:val="18"/>
        </w:rPr>
        <w:t xml:space="preserve"> concluzionează că sunt justificate bilanțuri aprofundate pentru 12 state membre: Croația, Cipru, Franța, Germania, Grecia, Irlanda, Italia, Țările de Jos, Portugalia, România, Spania și Suedia. Aceste state membre au făcut obiectul unui bilanț aprofundat în ciclul anual de supraveghere precedent al procedurii privind dezechilibrele macroeconomice (PDM), considerându-se că se confruntă cu dezechilibre (Croația, Franța, Germania, Irlanda, Țările de Jos, Portugalia, România, Spania și Suedia) sau cu dezechilibre excesive (Cipru, Grecia și Italia). Noile bilanțuri aprofundate vor examina evoluția acestor dezechilibre, gravitatea lor și măsurile luate de statele membre, pentru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actualiza evaluările existente și a determina eventualele nevoi restante în materie de politici.</w:t>
      </w:r>
    </w:p>
    <w:p w14:paraId="4E7BD365"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Raportul privind supravegherea mai strictă și rapoartele privind supravegherea ulterioară aplicării programului</w:t>
      </w:r>
    </w:p>
    <w:p w14:paraId="7F69A660"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93" w:history="1">
        <w:r w:rsidRPr="00D5025E">
          <w:rPr>
            <w:rStyle w:val="Hyperlink"/>
            <w:rFonts w:cs="Arial"/>
            <w:color w:val="004494"/>
          </w:rPr>
          <w:t>Cel de al doisprezecelea raport privind supravegherea mai strictă pentru Grecia</w:t>
        </w:r>
      </w:hyperlink>
      <w:hyperlink r:id="rId94"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constată că țara a înregistrat progrese suplimentare în direcția îndeplinirii angajamentelor convenite, în pofida întârzierilor întâmpinate în unele domenii, care sunt parțial legate de circumstanțele dificile cauzate de pandemia de COVID-19 și de incendiile forestiere catastrofale din august 2021. Pe baza acestui raport, Eurogrupul ar putea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decidă cu privire la activarea următorului set de măsuri referitoare la datorie condiționate de politici.</w:t>
      </w:r>
    </w:p>
    <w:p w14:paraId="1320A52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Rapoartele privind supravegherea ulterioară aplicării programului pentru </w:t>
      </w:r>
      <w:hyperlink r:id="rId95" w:history="1">
        <w:r w:rsidRPr="00D5025E">
          <w:rPr>
            <w:rStyle w:val="Hyperlink"/>
            <w:rFonts w:cs="Arial"/>
            <w:color w:val="004494"/>
          </w:rPr>
          <w:t>Spania</w:t>
        </w:r>
      </w:hyperlink>
      <w:hyperlink r:id="rId96"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w:t>
      </w:r>
      <w:hyperlink r:id="rId97" w:history="1">
        <w:r w:rsidRPr="00D5025E">
          <w:rPr>
            <w:rStyle w:val="Hyperlink"/>
            <w:rFonts w:cs="Arial"/>
            <w:color w:val="004494"/>
          </w:rPr>
          <w:t>Portugalia</w:t>
        </w:r>
      </w:hyperlink>
      <w:hyperlink r:id="rId98"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w:t>
      </w:r>
      <w:hyperlink r:id="rId99" w:history="1">
        <w:r w:rsidRPr="00D5025E">
          <w:rPr>
            <w:rStyle w:val="Hyperlink"/>
            <w:rFonts w:cs="Arial"/>
            <w:color w:val="004494"/>
          </w:rPr>
          <w:t>Cipru</w:t>
        </w:r>
      </w:hyperlink>
      <w:hyperlink r:id="rId100"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și </w:t>
      </w:r>
      <w:hyperlink r:id="rId101" w:history="1">
        <w:r w:rsidRPr="00D5025E">
          <w:rPr>
            <w:rStyle w:val="Hyperlink"/>
            <w:rFonts w:cs="Arial"/>
            <w:color w:val="004494"/>
          </w:rPr>
          <w:t>Irlanda</w:t>
        </w:r>
      </w:hyperlink>
      <w:hyperlink r:id="rId102" w:history="1">
        <w:r w:rsidRPr="00D5025E">
          <w:rPr>
            <w:rStyle w:val="wtoffscreen"/>
            <w:rFonts w:ascii="Verdana" w:hAnsi="Verdana"/>
            <w:color w:val="999999"/>
            <w:sz w:val="18"/>
            <w:szCs w:val="18"/>
            <w:u w:val="single"/>
            <w:bdr w:val="single" w:sz="6" w:space="2" w:color="AAAAAA" w:frame="1"/>
            <w:shd w:val="clear" w:color="auto" w:fill="FFFFFF"/>
          </w:rPr>
          <w:t xml:space="preserve">Căutați </w:t>
        </w:r>
        <w:r w:rsidRPr="00D5025E">
          <w:rPr>
            <w:rStyle w:val="wtoffscreen"/>
            <w:rFonts w:ascii="Verdana" w:hAnsi="Verdana"/>
            <w:color w:val="999999"/>
            <w:sz w:val="18"/>
            <w:szCs w:val="18"/>
            <w:u w:val="single"/>
            <w:bdr w:val="single" w:sz="6" w:space="2" w:color="AAAAAA" w:frame="1"/>
            <w:shd w:val="clear" w:color="auto" w:fill="FFFFFF"/>
          </w:rPr>
          <w:lastRenderedPageBreak/>
          <w:t>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arată că toate cele patru state membre își păstrează capacitatea de a-și plăti datoriile în curs.</w:t>
      </w:r>
    </w:p>
    <w:p w14:paraId="666D1280"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Propunerea de Raport comun privind ocuparea forței de muncă</w:t>
      </w:r>
    </w:p>
    <w:p w14:paraId="016B94F7" w14:textId="77777777" w:rsidR="001B2877" w:rsidRPr="00D5025E" w:rsidRDefault="001B2877" w:rsidP="00D5025E">
      <w:pPr>
        <w:pStyle w:val="NormalWeb"/>
        <w:spacing w:before="120" w:beforeAutospacing="0" w:after="0" w:afterAutospacing="0"/>
        <w:rPr>
          <w:rFonts w:ascii="Verdana" w:hAnsi="Verdana"/>
          <w:color w:val="404040"/>
          <w:sz w:val="18"/>
          <w:szCs w:val="18"/>
        </w:rPr>
      </w:pPr>
      <w:hyperlink r:id="rId103" w:history="1">
        <w:r w:rsidRPr="00D5025E">
          <w:rPr>
            <w:rStyle w:val="Hyperlink"/>
            <w:rFonts w:cs="Arial"/>
            <w:color w:val="004494"/>
          </w:rPr>
          <w:t>Raportul comun privind ocuparea forței de muncă</w:t>
        </w:r>
      </w:hyperlink>
      <w:hyperlink r:id="rId104"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EN</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confirmă faptul că piața forței de muncă se redresează, deși ocuparea forței de muncă nu a revenit încă la nivelurile anterioare crizei. Criza provocată de pandemia de COVID-19 a afectat în special tinerii, lucrătorii cu forme de muncă atipice, persoanele care desfășoară o activitate independentă și resortisanții țărilor terțe. Sectoarele cu cerere ridicată se confruntă deja cu o penurie de forță de muncă. În același timp, o serie de întreprinderi ies din criză cu dificultăți financiare considerabile, iar unele locuri de muncă pot dispărea, în timp </w:t>
      </w:r>
      <w:proofErr w:type="gramStart"/>
      <w:r w:rsidRPr="00D5025E">
        <w:rPr>
          <w:rFonts w:ascii="Verdana" w:hAnsi="Verdana"/>
          <w:color w:val="404040"/>
          <w:sz w:val="18"/>
          <w:szCs w:val="18"/>
        </w:rPr>
        <w:t>ce</w:t>
      </w:r>
      <w:proofErr w:type="gramEnd"/>
      <w:r w:rsidRPr="00D5025E">
        <w:rPr>
          <w:rFonts w:ascii="Verdana" w:hAnsi="Verdana"/>
          <w:color w:val="404040"/>
          <w:sz w:val="18"/>
          <w:szCs w:val="18"/>
        </w:rPr>
        <w:t xml:space="preserve"> altele vor fi create datorită tranziției verzi și tranziției digitale. În acest context, politicile active în domeniul pieței forței de muncă și, în special, sprijinul pentru tranzițiile profesionale </w:t>
      </w:r>
      <w:proofErr w:type="gramStart"/>
      <w:r w:rsidRPr="00D5025E">
        <w:rPr>
          <w:rFonts w:ascii="Verdana" w:hAnsi="Verdana"/>
          <w:color w:val="404040"/>
          <w:sz w:val="18"/>
          <w:szCs w:val="18"/>
        </w:rPr>
        <w:t>devin</w:t>
      </w:r>
      <w:proofErr w:type="gramEnd"/>
      <w:r w:rsidRPr="00D5025E">
        <w:rPr>
          <w:rFonts w:ascii="Verdana" w:hAnsi="Verdana"/>
          <w:color w:val="404040"/>
          <w:sz w:val="18"/>
          <w:szCs w:val="18"/>
        </w:rPr>
        <w:t xml:space="preserve"> deosebit de importante. Participarea la învățarea în rândul adulților rămâne departe de practica standard în întreaga UE și a fost afectată de pandemie, cu diferențe </w:t>
      </w:r>
      <w:proofErr w:type="gramStart"/>
      <w:r w:rsidRPr="00D5025E">
        <w:rPr>
          <w:rFonts w:ascii="Verdana" w:hAnsi="Verdana"/>
          <w:color w:val="404040"/>
          <w:sz w:val="18"/>
          <w:szCs w:val="18"/>
        </w:rPr>
        <w:t>mari</w:t>
      </w:r>
      <w:proofErr w:type="gramEnd"/>
      <w:r w:rsidRPr="00D5025E">
        <w:rPr>
          <w:rFonts w:ascii="Verdana" w:hAnsi="Verdana"/>
          <w:color w:val="404040"/>
          <w:sz w:val="18"/>
          <w:szCs w:val="18"/>
        </w:rPr>
        <w:t xml:space="preserve"> între statele membre. Prin urmare, asigurarea competențelor adecvate necesare pentru piețele forței de muncă ale viitorului rămâne o provocare. În fine, sistemele de protecție socială au contribuit la depășirea crizei provocate de pandemia de COVID-19 fără o creștere substanțială a riscurilor de sărăcie sau </w:t>
      </w:r>
      <w:proofErr w:type="gramStart"/>
      <w:r w:rsidRPr="00D5025E">
        <w:rPr>
          <w:rFonts w:ascii="Verdana" w:hAnsi="Verdana"/>
          <w:color w:val="404040"/>
          <w:sz w:val="18"/>
          <w:szCs w:val="18"/>
        </w:rPr>
        <w:t>a</w:t>
      </w:r>
      <w:proofErr w:type="gramEnd"/>
      <w:r w:rsidRPr="00D5025E">
        <w:rPr>
          <w:rFonts w:ascii="Verdana" w:hAnsi="Verdana"/>
          <w:color w:val="404040"/>
          <w:sz w:val="18"/>
          <w:szCs w:val="18"/>
        </w:rPr>
        <w:t xml:space="preserve"> inegalității veniturilor. Acest lucru s-a datorat, printre altele, sprijinului substanțial la nivelul UE și al statelor membre, de exemplu prin scheme de reducere a timpului de muncă și alte măsuri de menținere a locurilor de muncă introduse sau extinse în timpul crizei și finanțate prin instrumentul SURE. Cu toate acestea, în multe țări există în continuare lacune în materie de protecție socială, în special în cazul lucrătorilor cu contracte atipice și al persoanelor care desfășoară o activitate independentă. Analiza din Raportul comun privind ocuparea forței de muncă pentru 2022 se bazează pe tabloul de bord social revizuit, care sprijină în prezent monitorizarea a 18 dintre cele 20 de principii ale </w:t>
      </w:r>
      <w:hyperlink r:id="rId105" w:history="1">
        <w:r w:rsidRPr="00D5025E">
          <w:rPr>
            <w:rStyle w:val="Hyperlink"/>
            <w:rFonts w:cs="Arial"/>
            <w:color w:val="004494"/>
          </w:rPr>
          <w:t>Pilonului european al drepturilor sociale</w:t>
        </w:r>
      </w:hyperlink>
      <w:hyperlink r:id="rId106"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xml:space="preserve">. Acest lucru </w:t>
      </w:r>
      <w:proofErr w:type="gramStart"/>
      <w:r w:rsidRPr="00D5025E">
        <w:rPr>
          <w:rFonts w:ascii="Verdana" w:hAnsi="Verdana"/>
          <w:color w:val="404040"/>
          <w:sz w:val="18"/>
          <w:szCs w:val="18"/>
        </w:rPr>
        <w:t>va</w:t>
      </w:r>
      <w:proofErr w:type="gramEnd"/>
      <w:r w:rsidRPr="00D5025E">
        <w:rPr>
          <w:rFonts w:ascii="Verdana" w:hAnsi="Verdana"/>
          <w:color w:val="404040"/>
          <w:sz w:val="18"/>
          <w:szCs w:val="18"/>
        </w:rPr>
        <w:t xml:space="preserve"> contribui la evaluarea cuprinzătoare a principalelor provocări sociale și în materie de ocupare a forței de muncă din statele membre. În cadrul Summitului social de la Porto, liderii UE au aprobat Planul de acțiune privind Pilonul european al drepturilor sociale, care stabilește </w:t>
      </w:r>
      <w:hyperlink r:id="rId107" w:history="1">
        <w:r w:rsidRPr="00D5025E">
          <w:rPr>
            <w:rStyle w:val="Hyperlink"/>
            <w:rFonts w:cs="Arial"/>
            <w:color w:val="004494"/>
          </w:rPr>
          <w:t>trei obiective principale ale UE</w:t>
        </w:r>
      </w:hyperlink>
      <w:hyperlink r:id="rId108" w:history="1">
        <w:r w:rsidRPr="00D5025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D5025E">
          <w:rPr>
            <w:rStyle w:val="Hyperlink"/>
            <w:color w:val="AAAAAA"/>
            <w:bdr w:val="single" w:sz="6" w:space="2" w:color="AAAAAA" w:frame="1"/>
            <w:shd w:val="clear" w:color="auto" w:fill="FFFFFF"/>
          </w:rPr>
          <w:t>RO</w:t>
        </w:r>
        <w:r w:rsidRPr="00D5025E">
          <w:rPr>
            <w:rStyle w:val="Hyperlink"/>
            <w:b/>
            <w:bCs/>
            <w:color w:val="CCCCCC"/>
            <w:bdr w:val="single" w:sz="6" w:space="2" w:color="AAAAAA" w:frame="1"/>
            <w:shd w:val="clear" w:color="auto" w:fill="FFFFFF"/>
          </w:rPr>
          <w:t>•••</w:t>
        </w:r>
      </w:hyperlink>
      <w:r w:rsidRPr="00D5025E">
        <w:rPr>
          <w:rFonts w:ascii="Verdana" w:hAnsi="Verdana"/>
          <w:color w:val="404040"/>
          <w:sz w:val="18"/>
          <w:szCs w:val="18"/>
        </w:rPr>
        <w:t> privind ocuparea forței de muncă, competențele și reducerea sărăciei până în 2030, iar aceste obiective sunt acum integrate în Raportul comun privind ocuparea forței de muncă.</w:t>
      </w:r>
    </w:p>
    <w:p w14:paraId="173E80C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Declarațiile membrilor colegiului:</w:t>
      </w:r>
    </w:p>
    <w:p w14:paraId="53DE285B"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Valdis </w:t>
      </w:r>
      <w:r w:rsidRPr="00D5025E">
        <w:rPr>
          <w:rStyle w:val="Strong"/>
          <w:color w:val="404040"/>
        </w:rPr>
        <w:t>Dombrovskis</w:t>
      </w:r>
      <w:r w:rsidRPr="00D5025E">
        <w:rPr>
          <w:rFonts w:ascii="Verdana" w:hAnsi="Verdana"/>
          <w:color w:val="404040"/>
          <w:sz w:val="18"/>
          <w:szCs w:val="18"/>
        </w:rPr>
        <w:t>, vicepreședintele executiv pentru o economie în serviciul cetățenilor, a declarat: </w:t>
      </w:r>
      <w:r w:rsidRPr="00D5025E">
        <w:rPr>
          <w:rStyle w:val="Emphasis"/>
          <w:color w:val="404040"/>
        </w:rPr>
        <w:t xml:space="preserve">„Odată cu trecerea de la gestionarea crizei la investiții favorabile creșterii pentru viitor, prioritatea </w:t>
      </w:r>
      <w:proofErr w:type="gramStart"/>
      <w:r w:rsidRPr="00D5025E">
        <w:rPr>
          <w:rStyle w:val="Emphasis"/>
          <w:color w:val="404040"/>
        </w:rPr>
        <w:t>este</w:t>
      </w:r>
      <w:proofErr w:type="gramEnd"/>
      <w:r w:rsidRPr="00D5025E">
        <w:rPr>
          <w:rStyle w:val="Emphasis"/>
          <w:color w:val="404040"/>
        </w:rPr>
        <w:t xml:space="preserve"> de a realiza reformele și investițiile adecvate pentru ca Europa să înceapă o redresare favorabilă incluziunii, durabilă și sustenabilă. În timp ce Mecanismul de redresare și reziliență va oferi structura de finanțare, statele membre se pot baza și pe semestrul european ca punct de reper pentru politicile viitoare. Orientările sale periodice le vor ajuta să facă progrese în ceea ce privește tranziția verde și tranziția digitală, să ofere economiilor lor impulsul de care au nevoie și să consolideze reziliența noastră colectivă în fața șocurilor viitoare. Semestrul le va ajuta totodată să facă față riscurilor noi, dar și celor moștenite, care ar putea împiedica redresarea. În plus, va trebui să ne concentrăm pe consolidarea întreprinderilor, pe încadrarea unui număr mai mare de persoane în locuri de muncă de calitate, pe eliminarea barierelor din calea investițiilor și pe coordonarea politicilor pentru a menține sustenabilitatea fiscală a UE.”</w:t>
      </w:r>
    </w:p>
    <w:p w14:paraId="0CBF11E7"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Paolo </w:t>
      </w:r>
      <w:r w:rsidRPr="00D5025E">
        <w:rPr>
          <w:rStyle w:val="Strong"/>
          <w:color w:val="404040"/>
        </w:rPr>
        <w:t>Gentiloni</w:t>
      </w:r>
      <w:r w:rsidRPr="00D5025E">
        <w:rPr>
          <w:rFonts w:ascii="Verdana" w:hAnsi="Verdana"/>
          <w:color w:val="404040"/>
          <w:sz w:val="18"/>
          <w:szCs w:val="18"/>
        </w:rPr>
        <w:t>, comisarul pentru economie, a declarat: </w:t>
      </w:r>
      <w:r w:rsidRPr="00D5025E">
        <w:rPr>
          <w:rStyle w:val="Emphasis"/>
          <w:color w:val="404040"/>
        </w:rPr>
        <w:t xml:space="preserve">„Economia europeană înregistrează o creștere puternică, dar se confruntă cu o serie de dificultăți: creșterea puternică a cazurilor de COVID-19, creșterea inflației și problemele actuale legate de lanțurile de aprovizionare. Această situație economică complexă necesită politici atent calibrate: trebuie să menținem redresarea pe calea cea bună, dar și să ne îndreptăm către un model de creștere mai durabilă, mai competitivă și mai favorabilă incluziunii pentru perioada de după pandemie. În ceea ce privește zona euro, solicităm o orientare bugetară moderat favorabilă pentru 2022, cu accent pe investiții, dotarea lucrătorilor cu noi competențe și protejarea solvabilității întreprinderilor viabile. Dezechilibrele macroeconomice, pe care pandemia le-a exacerbat în multe cazuri, necesită o atenție deosebită. Mecanismul de redresare și reziliență este pus în </w:t>
      </w:r>
      <w:r w:rsidRPr="00D5025E">
        <w:rPr>
          <w:rStyle w:val="Emphasis"/>
          <w:color w:val="404040"/>
        </w:rPr>
        <w:lastRenderedPageBreak/>
        <w:t>aplicare în prezent în 22 de țări ale UE, care își propun să cheltuiască aproximativ 40 % din totalul granturilor alocate numai în 2022. Reușita acestui demers va fi probabil cea mai mare provocare – și oportunitate – pentru anul următor.”</w:t>
      </w:r>
    </w:p>
    <w:p w14:paraId="191E76D4"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Nicolas </w:t>
      </w:r>
      <w:r w:rsidRPr="00D5025E">
        <w:rPr>
          <w:rStyle w:val="Strong"/>
          <w:color w:val="404040"/>
        </w:rPr>
        <w:t>Schmit</w:t>
      </w:r>
      <w:r w:rsidRPr="00D5025E">
        <w:rPr>
          <w:rFonts w:ascii="Verdana" w:hAnsi="Verdana"/>
          <w:color w:val="404040"/>
          <w:sz w:val="18"/>
          <w:szCs w:val="18"/>
        </w:rPr>
        <w:t>, comisarul pentru locuri de muncă și drepturi sociale, a declarat: </w:t>
      </w:r>
      <w:r w:rsidRPr="00D5025E">
        <w:rPr>
          <w:rStyle w:val="Emphasis"/>
          <w:color w:val="404040"/>
        </w:rPr>
        <w:t xml:space="preserve">„Politicile active în domeniul pieței forței de muncă, inclusiv stimulentele pentru calificare și angajare, trebuie să se afle în centrul eforturilor noastre pentru </w:t>
      </w:r>
      <w:proofErr w:type="gramStart"/>
      <w:r w:rsidRPr="00D5025E">
        <w:rPr>
          <w:rStyle w:val="Emphasis"/>
          <w:color w:val="404040"/>
        </w:rPr>
        <w:t>a</w:t>
      </w:r>
      <w:proofErr w:type="gramEnd"/>
      <w:r w:rsidRPr="00D5025E">
        <w:rPr>
          <w:rStyle w:val="Emphasis"/>
          <w:color w:val="404040"/>
        </w:rPr>
        <w:t xml:space="preserve"> atenua efectele negative ale pandemiei. Acest lucru va facilita tranzițiile profesionale și va asigura faptul că tranziția verde și cea digitală sunt echitabile și favorabile incluziunii. Pe lângă creșterea investițiilor în competențe, este, de asemenea, imperativ să se analizeze condițiile de muncă, ceea ce va contribui la remedierea deficitului de forță de muncă în anumite sectoare. Ajutăm cetățenii să se orienteze către noi locuri de muncă adaptate exigențelor viitorului, dar trebuie să asigurăm totodată calitatea acestor noi tipuri de locuri de muncă.”</w:t>
      </w:r>
    </w:p>
    <w:p w14:paraId="40C1676D"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Etapele următoare</w:t>
      </w:r>
    </w:p>
    <w:p w14:paraId="56A99437"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Comisia invită Eurogrupul și Consiliul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discute pachetul și să aprobe orientările prezentate astăzi. Comisia așteaptă cu interes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poarte un dialog constructiv cu Parlamentul European cu privire la conținutul acestui pachet și la fiecare etapă ulterioară a ciclului semestrului european.</w:t>
      </w:r>
    </w:p>
    <w:p w14:paraId="42A7F718"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Context</w:t>
      </w:r>
    </w:p>
    <w:p w14:paraId="40BF29E3"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Semestrul </w:t>
      </w:r>
      <w:proofErr w:type="gramStart"/>
      <w:r w:rsidRPr="00D5025E">
        <w:rPr>
          <w:rFonts w:ascii="Verdana" w:hAnsi="Verdana"/>
          <w:color w:val="404040"/>
          <w:sz w:val="18"/>
          <w:szCs w:val="18"/>
        </w:rPr>
        <w:t>european</w:t>
      </w:r>
      <w:proofErr w:type="gramEnd"/>
      <w:r w:rsidRPr="00D5025E">
        <w:rPr>
          <w:rFonts w:ascii="Verdana" w:hAnsi="Verdana"/>
          <w:color w:val="404040"/>
          <w:sz w:val="18"/>
          <w:szCs w:val="18"/>
        </w:rPr>
        <w:t xml:space="preserve"> oferă un cadru bine stabilit pentru coordonarea politicilor economice și de ocupare a forței de muncă ale statelor membre și va continua să joace acest rol în faza de redresare și în realizarea tranziției verzi și digitale. Prioritățile de politică vor fi structurate, la fel ca în anii precedenți, în jurul celor patru dimensiuni ale sustenabilității competitive și în conformitate cu obiectivele de dezvoltare durabilă.</w:t>
      </w:r>
    </w:p>
    <w:p w14:paraId="00B6BEF6"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Mecanismul de redresare și reziliență este elementul central al instrumentului NextGenerationEU, cu împrumuturi și granturi în valoare de 723</w:t>
      </w:r>
      <w:proofErr w:type="gramStart"/>
      <w:r w:rsidRPr="00D5025E">
        <w:rPr>
          <w:rFonts w:ascii="Verdana" w:hAnsi="Verdana"/>
          <w:color w:val="404040"/>
          <w:sz w:val="18"/>
          <w:szCs w:val="18"/>
        </w:rPr>
        <w:t>,8</w:t>
      </w:r>
      <w:proofErr w:type="gramEnd"/>
      <w:r w:rsidRPr="00D5025E">
        <w:rPr>
          <w:rFonts w:ascii="Verdana" w:hAnsi="Verdana"/>
          <w:color w:val="404040"/>
          <w:sz w:val="18"/>
          <w:szCs w:val="18"/>
        </w:rPr>
        <w:t xml:space="preserve"> miliarde EUR disponibile pentru sprijinirea reformelor și a investițiilor întreprinse de țările UE. Obiectivul </w:t>
      </w:r>
      <w:proofErr w:type="gramStart"/>
      <w:r w:rsidRPr="00D5025E">
        <w:rPr>
          <w:rFonts w:ascii="Verdana" w:hAnsi="Verdana"/>
          <w:color w:val="404040"/>
          <w:sz w:val="18"/>
          <w:szCs w:val="18"/>
        </w:rPr>
        <w:t>este</w:t>
      </w:r>
      <w:proofErr w:type="gramEnd"/>
      <w:r w:rsidRPr="00D5025E">
        <w:rPr>
          <w:rFonts w:ascii="Verdana" w:hAnsi="Verdana"/>
          <w:color w:val="404040"/>
          <w:sz w:val="18"/>
          <w:szCs w:val="18"/>
        </w:rPr>
        <w:t xml:space="preserve"> de a atenua impactul economic și social al pandemiei de COVID-19 și de a spori sustenabilitatea și reziliența economiilor și societăților europene, precum și de a le pregăti mai bine pentru provocările generate de tranziția verde și cea digitală. </w:t>
      </w:r>
    </w:p>
    <w:p w14:paraId="7DC8A081"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Strong"/>
          <w:color w:val="404040"/>
        </w:rPr>
        <w:t>Informații suplimentare </w:t>
      </w:r>
    </w:p>
    <w:p w14:paraId="14C27D76"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09" w:history="1">
        <w:r w:rsidRPr="00933B9F">
          <w:rPr>
            <w:rStyle w:val="Hyperlink"/>
            <w:rFonts w:cs="Arial"/>
            <w:color w:val="004494"/>
            <w:sz w:val="16"/>
          </w:rPr>
          <w:t>Întrebări și răspunsuri referitoare la pachetul de toamnă al semestrului european 2022</w:t>
        </w:r>
      </w:hyperlink>
      <w:hyperlink r:id="rId110"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0453DBFB"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11" w:history="1">
        <w:r w:rsidRPr="00933B9F">
          <w:rPr>
            <w:rStyle w:val="Hyperlink"/>
            <w:rFonts w:cs="Arial"/>
            <w:color w:val="004494"/>
            <w:sz w:val="16"/>
          </w:rPr>
          <w:t>Comunicare referitoare la Analiza anuală privind creșterea durabilă pentru 2022</w:t>
        </w:r>
      </w:hyperlink>
      <w:hyperlink r:id="rId112"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202AE3EF"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13" w:history="1">
        <w:r w:rsidRPr="00933B9F">
          <w:rPr>
            <w:rStyle w:val="Hyperlink"/>
            <w:rFonts w:cs="Arial"/>
            <w:color w:val="004494"/>
            <w:sz w:val="16"/>
          </w:rPr>
          <w:t>Comunicare privind proiectele de planuri bugetare pentru 2022</w:t>
        </w:r>
      </w:hyperlink>
      <w:hyperlink r:id="rId114"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287700B2"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15" w:history="1">
        <w:r w:rsidRPr="00933B9F">
          <w:rPr>
            <w:rStyle w:val="Hyperlink"/>
            <w:rFonts w:cs="Arial"/>
            <w:color w:val="004494"/>
            <w:sz w:val="16"/>
          </w:rPr>
          <w:t>Avize privind proiectele de planuri bugetare pentru 2022</w:t>
        </w:r>
      </w:hyperlink>
      <w:hyperlink r:id="rId116"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78628154"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17" w:history="1">
        <w:r w:rsidRPr="00933B9F">
          <w:rPr>
            <w:rStyle w:val="Hyperlink"/>
            <w:rFonts w:cs="Arial"/>
            <w:color w:val="004494"/>
            <w:sz w:val="16"/>
          </w:rPr>
          <w:t>Recomandare privind zona euro 2022</w:t>
        </w:r>
      </w:hyperlink>
      <w:hyperlink r:id="rId118"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76087D75"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19" w:history="1">
        <w:r w:rsidRPr="00933B9F">
          <w:rPr>
            <w:rStyle w:val="Hyperlink"/>
            <w:rFonts w:cs="Arial"/>
            <w:color w:val="004494"/>
            <w:sz w:val="16"/>
          </w:rPr>
          <w:t>Raportul privind mecanismul de alertă 2022</w:t>
        </w:r>
      </w:hyperlink>
      <w:hyperlink r:id="rId120"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3EC1DAC7"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21" w:history="1">
        <w:r w:rsidRPr="00933B9F">
          <w:rPr>
            <w:rStyle w:val="Hyperlink"/>
            <w:rFonts w:cs="Arial"/>
            <w:color w:val="004494"/>
            <w:sz w:val="16"/>
          </w:rPr>
          <w:t>Comunicare privind situația bugetară a României</w:t>
        </w:r>
      </w:hyperlink>
      <w:hyperlink r:id="rId122"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2DF2E613"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23" w:history="1">
        <w:r w:rsidRPr="00933B9F">
          <w:rPr>
            <w:rStyle w:val="Hyperlink"/>
            <w:rFonts w:cs="Arial"/>
            <w:color w:val="004494"/>
            <w:sz w:val="16"/>
          </w:rPr>
          <w:t>Raport privind supravegherea ulterioară aplicării programului: Cipru</w:t>
        </w:r>
      </w:hyperlink>
      <w:hyperlink r:id="rId124"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5A714250"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25" w:history="1">
        <w:r w:rsidRPr="00933B9F">
          <w:rPr>
            <w:rStyle w:val="Hyperlink"/>
            <w:rFonts w:cs="Arial"/>
            <w:color w:val="004494"/>
            <w:sz w:val="16"/>
          </w:rPr>
          <w:t>Raport privind supravegherea ulterioară aplicării programului: Irlanda</w:t>
        </w:r>
      </w:hyperlink>
      <w:hyperlink r:id="rId126"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4609E7FB"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27" w:history="1">
        <w:r w:rsidRPr="00933B9F">
          <w:rPr>
            <w:rStyle w:val="Hyperlink"/>
            <w:rFonts w:cs="Arial"/>
            <w:color w:val="004494"/>
            <w:sz w:val="16"/>
          </w:rPr>
          <w:t>Raport privind supravegherea ulterioară aplicării programului: Portugalia</w:t>
        </w:r>
      </w:hyperlink>
      <w:hyperlink r:id="rId128"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051557C3"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29" w:history="1">
        <w:r w:rsidRPr="00933B9F">
          <w:rPr>
            <w:rStyle w:val="Hyperlink"/>
            <w:rFonts w:cs="Arial"/>
            <w:color w:val="004494"/>
            <w:sz w:val="16"/>
          </w:rPr>
          <w:t>Raport privind supravegherea ulterioară aplicării programului: Spania</w:t>
        </w:r>
      </w:hyperlink>
      <w:hyperlink r:id="rId130"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1ED48392"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31" w:history="1">
        <w:r w:rsidRPr="00933B9F">
          <w:rPr>
            <w:rStyle w:val="Hyperlink"/>
            <w:rFonts w:cs="Arial"/>
            <w:color w:val="004494"/>
            <w:sz w:val="16"/>
          </w:rPr>
          <w:t>Raport privind supravegherea mai strictă: Grecia</w:t>
        </w:r>
      </w:hyperlink>
      <w:hyperlink r:id="rId132"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59C84690"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33" w:history="1">
        <w:r w:rsidRPr="00933B9F">
          <w:rPr>
            <w:rStyle w:val="Hyperlink"/>
            <w:rFonts w:cs="Arial"/>
            <w:color w:val="004494"/>
            <w:sz w:val="16"/>
          </w:rPr>
          <w:t>Propunerea de Raport comun privind ocuparea forței de muncă</w:t>
        </w:r>
      </w:hyperlink>
      <w:hyperlink r:id="rId134"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7347E9EF"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35" w:history="1">
        <w:r w:rsidRPr="00933B9F">
          <w:rPr>
            <w:rStyle w:val="Hyperlink"/>
            <w:rFonts w:cs="Arial"/>
            <w:color w:val="004494"/>
            <w:sz w:val="16"/>
          </w:rPr>
          <w:t>Previziunile economice din toamna anului 2021</w:t>
        </w:r>
      </w:hyperlink>
      <w:hyperlink r:id="rId136"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RO</w:t>
        </w:r>
        <w:r w:rsidRPr="00933B9F">
          <w:rPr>
            <w:rStyle w:val="Hyperlink"/>
            <w:b/>
            <w:bCs/>
            <w:color w:val="CCCCCC"/>
            <w:sz w:val="16"/>
            <w:bdr w:val="single" w:sz="6" w:space="2" w:color="AAAAAA" w:frame="1"/>
            <w:shd w:val="clear" w:color="auto" w:fill="FFFFFF"/>
          </w:rPr>
          <w:t>•••</w:t>
        </w:r>
      </w:hyperlink>
    </w:p>
    <w:p w14:paraId="28E67E0C"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37" w:history="1">
        <w:r w:rsidRPr="00933B9F">
          <w:rPr>
            <w:rStyle w:val="Hyperlink"/>
            <w:rFonts w:cs="Arial"/>
            <w:color w:val="004494"/>
            <w:sz w:val="16"/>
          </w:rPr>
          <w:t>Mecanismul de redresare și reziliență</w:t>
        </w:r>
      </w:hyperlink>
      <w:hyperlink r:id="rId138"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EN</w:t>
        </w:r>
        <w:r w:rsidRPr="00933B9F">
          <w:rPr>
            <w:rStyle w:val="Hyperlink"/>
            <w:b/>
            <w:bCs/>
            <w:color w:val="CCCCCC"/>
            <w:sz w:val="16"/>
            <w:bdr w:val="single" w:sz="6" w:space="2" w:color="AAAAAA" w:frame="1"/>
            <w:shd w:val="clear" w:color="auto" w:fill="FFFFFF"/>
          </w:rPr>
          <w:t>•••</w:t>
        </w:r>
      </w:hyperlink>
    </w:p>
    <w:p w14:paraId="2D7E4E87" w14:textId="77777777" w:rsidR="001B2877" w:rsidRPr="00933B9F" w:rsidRDefault="001B2877" w:rsidP="00D5025E">
      <w:pPr>
        <w:pStyle w:val="NormalWeb"/>
        <w:spacing w:before="120" w:beforeAutospacing="0" w:after="0" w:afterAutospacing="0"/>
        <w:rPr>
          <w:rFonts w:ascii="Verdana" w:hAnsi="Verdana"/>
          <w:color w:val="404040"/>
          <w:sz w:val="16"/>
          <w:szCs w:val="18"/>
        </w:rPr>
      </w:pPr>
      <w:hyperlink r:id="rId139" w:history="1">
        <w:r w:rsidRPr="00933B9F">
          <w:rPr>
            <w:rStyle w:val="Hyperlink"/>
            <w:rFonts w:cs="Arial"/>
            <w:color w:val="004494"/>
            <w:sz w:val="16"/>
          </w:rPr>
          <w:t>Semestrul european</w:t>
        </w:r>
      </w:hyperlink>
      <w:hyperlink r:id="rId140" w:history="1">
        <w:r w:rsidRPr="00933B9F">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933B9F">
          <w:rPr>
            <w:rStyle w:val="Hyperlink"/>
            <w:color w:val="AAAAAA"/>
            <w:sz w:val="16"/>
            <w:bdr w:val="single" w:sz="6" w:space="2" w:color="AAAAAA" w:frame="1"/>
            <w:shd w:val="clear" w:color="auto" w:fill="FFFFFF"/>
          </w:rPr>
          <w:t>RO</w:t>
        </w:r>
        <w:r w:rsidRPr="00933B9F">
          <w:rPr>
            <w:rStyle w:val="Hyperlink"/>
            <w:b/>
            <w:bCs/>
            <w:color w:val="CCCCCC"/>
            <w:sz w:val="16"/>
            <w:bdr w:val="single" w:sz="6" w:space="2" w:color="AAAAAA" w:frame="1"/>
            <w:shd w:val="clear" w:color="auto" w:fill="FFFFFF"/>
          </w:rPr>
          <w:t>•••</w:t>
        </w:r>
      </w:hyperlink>
    </w:p>
    <w:p w14:paraId="3AF39686" w14:textId="4B7DABEE" w:rsidR="001B2877" w:rsidRPr="00D5025E" w:rsidRDefault="001B2877" w:rsidP="00933B9F">
      <w:pPr>
        <w:pStyle w:val="separatorarticole"/>
      </w:pPr>
      <w:r w:rsidRPr="00D5025E">
        <w:t>*</w:t>
      </w:r>
    </w:p>
    <w:p w14:paraId="5C69F3DA" w14:textId="77777777" w:rsidR="001B2877" w:rsidRPr="00D5025E" w:rsidRDefault="001B2877" w:rsidP="00933B9F">
      <w:pPr>
        <w:pStyle w:val="TitluArticolinINFOUE"/>
        <w:rPr>
          <w:lang w:eastAsia="ro-RO"/>
        </w:rPr>
      </w:pPr>
      <w:bookmarkStart w:id="152" w:name="_Toc89334249"/>
      <w:r w:rsidRPr="00D5025E">
        <w:t>Ramona Chiriac, șefa Reprezentanței Comisiei Europene în România: „Principiul egalității de șanse este coloana vertebrală a proiectului european”</w:t>
      </w:r>
      <w:bookmarkEnd w:id="152"/>
    </w:p>
    <w:p w14:paraId="67BCE2CF" w14:textId="77777777" w:rsidR="001B2877" w:rsidRPr="00D5025E" w:rsidRDefault="001B2877" w:rsidP="00D5025E">
      <w:pPr>
        <w:pStyle w:val="ecl-page-header-standardiseddescription"/>
        <w:shd w:val="clear" w:color="auto" w:fill="FFFFFF"/>
        <w:spacing w:before="120" w:beforeAutospacing="0" w:after="0" w:afterAutospacing="0"/>
        <w:rPr>
          <w:rFonts w:ascii="Verdana" w:hAnsi="Verdana" w:cs="Arial"/>
          <w:color w:val="404040"/>
          <w:sz w:val="18"/>
          <w:szCs w:val="18"/>
        </w:rPr>
      </w:pPr>
      <w:r w:rsidRPr="00D5025E">
        <w:rPr>
          <w:rFonts w:ascii="Verdana" w:hAnsi="Verdana" w:cs="Arial"/>
          <w:color w:val="404040"/>
          <w:sz w:val="18"/>
          <w:szCs w:val="18"/>
        </w:rPr>
        <w:t>Ramona Chiriac, Șefa Reprezentanței Comisiei Europene în România a participat azi, 22 noiembrie 2021, la conferința </w:t>
      </w:r>
      <w:r w:rsidRPr="00D5025E">
        <w:rPr>
          <w:rStyle w:val="Emphasis"/>
          <w:rFonts w:cs="Arial"/>
          <w:color w:val="404040"/>
        </w:rPr>
        <w:t>Future of Equal Chances</w:t>
      </w:r>
      <w:r w:rsidRPr="00D5025E">
        <w:rPr>
          <w:rFonts w:ascii="Verdana" w:hAnsi="Verdana" w:cs="Arial"/>
          <w:color w:val="404040"/>
          <w:sz w:val="18"/>
          <w:szCs w:val="18"/>
        </w:rPr>
        <w:t> organizată de Banca Europeană de Investiții și think-thank-ul pentru politici publice VERTIK for the Future.</w:t>
      </w:r>
    </w:p>
    <w:p w14:paraId="070823B5" w14:textId="1B13DF56" w:rsidR="001B2877" w:rsidRPr="00D5025E" w:rsidRDefault="001B2877" w:rsidP="00933B9F">
      <w:pPr>
        <w:rPr>
          <w:color w:val="404040"/>
          <w:szCs w:val="18"/>
        </w:rPr>
      </w:pPr>
      <w:r w:rsidRPr="00D5025E">
        <w:rPr>
          <w:noProof/>
          <w:szCs w:val="18"/>
          <w:lang w:eastAsia="ro-RO"/>
        </w:rPr>
        <w:drawing>
          <wp:anchor distT="0" distB="0" distL="114300" distR="114300" simplePos="0" relativeHeight="252023808" behindDoc="0" locked="0" layoutInCell="1" allowOverlap="1" wp14:anchorId="22728CA8" wp14:editId="3E248BCC">
            <wp:simplePos x="0" y="0"/>
            <wp:positionH relativeFrom="column">
              <wp:posOffset>2540</wp:posOffset>
            </wp:positionH>
            <wp:positionV relativeFrom="paragraph">
              <wp:posOffset>73660</wp:posOffset>
            </wp:positionV>
            <wp:extent cx="2390775" cy="1594654"/>
            <wp:effectExtent l="0" t="0" r="0" b="5715"/>
            <wp:wrapSquare wrapText="bothSides"/>
            <wp:docPr id="42" name="Picture 42" descr="Ramona_Chir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mona_Chiriac"/>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90775" cy="1594654"/>
                    </a:xfrm>
                    <a:prstGeom prst="rect">
                      <a:avLst/>
                    </a:prstGeom>
                    <a:noFill/>
                    <a:ln>
                      <a:noFill/>
                    </a:ln>
                  </pic:spPr>
                </pic:pic>
              </a:graphicData>
            </a:graphic>
          </wp:anchor>
        </w:drawing>
      </w:r>
      <w:r w:rsidRPr="00D5025E">
        <w:rPr>
          <w:color w:val="404040"/>
          <w:szCs w:val="18"/>
        </w:rPr>
        <w:t>Tema centrală a conferinței a fost promovarea antreprenoriatului feminin și a activităților femeilor pe piața muncii cu scopul de a obține o mai bună reprezentare a populației feminine și de a reduce diferențele mari dintre România și Uniunea Europeană în ceea ce privește egalitatea de gen.</w:t>
      </w:r>
    </w:p>
    <w:p w14:paraId="5E4E7D6A"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Style w:val="Emphasis"/>
          <w:color w:val="404040"/>
        </w:rPr>
        <w:t>„La nivelul Comisiei Europene, egalitatea de șanse și de tratament între femei și bărbați este promovată prin Strategia privind egalitatea de gen, lansată în martie 2020. Această strategie integratoare este, dacă vreți, o lentilă de gen aplicată tuturor politicilor publice europene, o lentilă cu ajutorul căreia definim acțiunile-cheie din spațiul european”, </w:t>
      </w:r>
      <w:r w:rsidRPr="00D5025E">
        <w:rPr>
          <w:rFonts w:ascii="Verdana" w:hAnsi="Verdana"/>
          <w:color w:val="404040"/>
          <w:sz w:val="18"/>
          <w:szCs w:val="18"/>
        </w:rPr>
        <w:t>a declarat Ramona Chiriac, șefa Reprezentanței Comisiei Europene din România.</w:t>
      </w:r>
    </w:p>
    <w:p w14:paraId="042E4139"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Comisia Europeană este preocupată de a face progrese semnificative până în 2025 către o Europă egală între femei și bărbați și recunoaște importanța egalității de gen și de șansă și în procesul de reconstrucție și redresare economică de după pandemie.</w:t>
      </w:r>
    </w:p>
    <w:p w14:paraId="7D88E8E4" w14:textId="77777777" w:rsidR="001B2877" w:rsidRPr="00D5025E" w:rsidRDefault="001B2877" w:rsidP="00D5025E">
      <w:pPr>
        <w:pStyle w:val="NormalWeb"/>
        <w:spacing w:before="120" w:beforeAutospacing="0" w:after="0" w:afterAutospacing="0"/>
        <w:rPr>
          <w:rFonts w:ascii="Verdana" w:hAnsi="Verdana"/>
          <w:color w:val="404040"/>
          <w:sz w:val="18"/>
          <w:szCs w:val="18"/>
        </w:rPr>
      </w:pPr>
      <w:r w:rsidRPr="00D5025E">
        <w:rPr>
          <w:rFonts w:ascii="Verdana" w:hAnsi="Verdana"/>
          <w:color w:val="404040"/>
          <w:sz w:val="18"/>
          <w:szCs w:val="18"/>
        </w:rPr>
        <w:t xml:space="preserve">Astfel, facilitatea de Redresare si Reziliența, împreuna cu politica regională a UE vor avea </w:t>
      </w:r>
      <w:proofErr w:type="gramStart"/>
      <w:r w:rsidRPr="00D5025E">
        <w:rPr>
          <w:rFonts w:ascii="Verdana" w:hAnsi="Verdana"/>
          <w:color w:val="404040"/>
          <w:sz w:val="18"/>
          <w:szCs w:val="18"/>
        </w:rPr>
        <w:t>un</w:t>
      </w:r>
      <w:proofErr w:type="gramEnd"/>
      <w:r w:rsidRPr="00D5025E">
        <w:rPr>
          <w:rFonts w:ascii="Verdana" w:hAnsi="Verdana"/>
          <w:color w:val="404040"/>
          <w:sz w:val="18"/>
          <w:szCs w:val="18"/>
        </w:rPr>
        <w:t xml:space="preserve"> impact pozitiv asupra Statelor Membre. Planul Național de Redresare si Reziliență al României descrie provocările naționale și subliniază reformele și investițiile așteptate </w:t>
      </w:r>
      <w:proofErr w:type="gramStart"/>
      <w:r w:rsidRPr="00D5025E">
        <w:rPr>
          <w:rFonts w:ascii="Verdana" w:hAnsi="Verdana"/>
          <w:color w:val="404040"/>
          <w:sz w:val="18"/>
          <w:szCs w:val="18"/>
        </w:rPr>
        <w:t>să</w:t>
      </w:r>
      <w:proofErr w:type="gramEnd"/>
      <w:r w:rsidRPr="00D5025E">
        <w:rPr>
          <w:rFonts w:ascii="Verdana" w:hAnsi="Verdana"/>
          <w:color w:val="404040"/>
          <w:sz w:val="18"/>
          <w:szCs w:val="18"/>
        </w:rPr>
        <w:t xml:space="preserve"> contribuie la promovarea acestor obiective. Măsurile vizează printre altele: introducerea unui prag minim obligatoriu de 50% privind participarea femeilor în programe de formare, educație, alfabetizare digitală și investiții în locuințe sociale pentru populația defavorizată sau vulnerabilă.</w:t>
      </w:r>
    </w:p>
    <w:p w14:paraId="73FC4E72" w14:textId="77777777" w:rsidR="00CD4B20" w:rsidRPr="00CF63FD" w:rsidRDefault="00CD4B20" w:rsidP="00CD4B20">
      <w:pPr>
        <w:pStyle w:val="Stilsursa"/>
        <w:rPr>
          <w:sz w:val="18"/>
        </w:rPr>
      </w:pPr>
      <w:bookmarkStart w:id="153" w:name="_Hlk87865179"/>
      <w:r>
        <w:t xml:space="preserve">Sursa: </w:t>
      </w:r>
      <w:r w:rsidRPr="00E058B8">
        <w:t>Reprezentanța în România</w:t>
      </w:r>
      <w:r>
        <w:t xml:space="preserve"> a Comisiei Europene </w:t>
      </w:r>
      <w:r w:rsidRPr="00E058B8">
        <w:t>https://romania.representation.ec.europa.eu/index_ro</w:t>
      </w:r>
    </w:p>
    <w:p w14:paraId="31291E91" w14:textId="77777777" w:rsidR="00724696" w:rsidRPr="00E465C4" w:rsidRDefault="00724696" w:rsidP="00724696">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0145E642" w14:textId="77777777" w:rsidR="005113E5" w:rsidRDefault="003E41A7" w:rsidP="005113E5">
      <w:pPr>
        <w:pStyle w:val="RezultatedinOF"/>
        <w:tabs>
          <w:tab w:val="left" w:pos="2268"/>
          <w:tab w:val="left" w:pos="2410"/>
          <w:tab w:val="left" w:pos="2694"/>
        </w:tabs>
        <w:spacing w:after="0" w:line="240" w:lineRule="auto"/>
        <w:ind w:right="57"/>
        <w:rPr>
          <w:color w:val="C00000"/>
          <w:sz w:val="18"/>
          <w:szCs w:val="18"/>
        </w:rPr>
      </w:pPr>
      <w:bookmarkStart w:id="154" w:name="_Hlk87865237"/>
      <w:bookmarkStart w:id="155" w:name="_Toc89334250"/>
      <w:bookmarkEnd w:id="153"/>
      <w:r w:rsidRPr="005113E5">
        <w:rPr>
          <w:color w:val="C00000"/>
          <w:sz w:val="18"/>
          <w:szCs w:val="18"/>
        </w:rPr>
        <w:lastRenderedPageBreak/>
        <w:t>C</w:t>
      </w:r>
      <w:r w:rsidR="001C1D75" w:rsidRPr="005113E5">
        <w:rPr>
          <w:color w:val="C00000"/>
          <w:sz w:val="18"/>
          <w:szCs w:val="18"/>
        </w:rPr>
        <w:t>ORONAVIRUS</w:t>
      </w:r>
      <w:bookmarkEnd w:id="154"/>
      <w:bookmarkEnd w:id="155"/>
    </w:p>
    <w:p w14:paraId="72C9DA2A" w14:textId="77777777" w:rsidR="00CF3E11" w:rsidRPr="00933B9F" w:rsidRDefault="00CF3E11" w:rsidP="00933B9F">
      <w:pPr>
        <w:pStyle w:val="TitluArticolinINFOUE"/>
        <w:rPr>
          <w:lang w:eastAsia="ro-RO"/>
        </w:rPr>
      </w:pPr>
      <w:bookmarkStart w:id="156" w:name="_Toc89334251"/>
      <w:r w:rsidRPr="00933B9F">
        <w:t>Coronavirus: Comisia propune consolidarea coordonării călătoriilor în condiții de siguranță în UE</w:t>
      </w:r>
      <w:bookmarkEnd w:id="156"/>
    </w:p>
    <w:p w14:paraId="44C36ED9" w14:textId="77777777" w:rsidR="00CF3E11" w:rsidRPr="00933B9F" w:rsidRDefault="00CF3E11" w:rsidP="00933B9F">
      <w:pPr>
        <w:pStyle w:val="ecl-page-header-standardiseddescription"/>
        <w:spacing w:before="120" w:beforeAutospacing="0" w:after="0" w:afterAutospacing="0"/>
        <w:rPr>
          <w:rFonts w:ascii="Verdana" w:hAnsi="Verdana" w:cs="Arial"/>
          <w:color w:val="404040"/>
          <w:sz w:val="18"/>
          <w:szCs w:val="18"/>
        </w:rPr>
      </w:pPr>
      <w:r w:rsidRPr="00933B9F">
        <w:rPr>
          <w:rFonts w:ascii="Verdana" w:hAnsi="Verdana" w:cs="Arial"/>
          <w:color w:val="404040"/>
          <w:sz w:val="18"/>
          <w:szCs w:val="18"/>
        </w:rPr>
        <w:t>Ieri, 25 noiembrie, Comisia Europeană a propus actualizarea normelor referitoare la coordonarea liberei circulații în condiții de siguranță în UE, care au fost instituite ca răspuns la pandemia de COVID-19.</w:t>
      </w:r>
    </w:p>
    <w:p w14:paraId="105983D9" w14:textId="608C39F7" w:rsidR="00CF3E11" w:rsidRPr="00933B9F" w:rsidRDefault="00CF3E11" w:rsidP="00933B9F">
      <w:pPr>
        <w:rPr>
          <w:color w:val="404040"/>
          <w:szCs w:val="18"/>
        </w:rPr>
      </w:pPr>
      <w:r w:rsidRPr="00933B9F">
        <w:rPr>
          <w:noProof/>
          <w:szCs w:val="18"/>
          <w:lang w:eastAsia="ro-RO"/>
        </w:rPr>
        <w:drawing>
          <wp:anchor distT="0" distB="0" distL="114300" distR="114300" simplePos="0" relativeHeight="252024832" behindDoc="0" locked="0" layoutInCell="1" allowOverlap="1" wp14:anchorId="7C528DC7" wp14:editId="2C0F430E">
            <wp:simplePos x="0" y="0"/>
            <wp:positionH relativeFrom="column">
              <wp:posOffset>2540</wp:posOffset>
            </wp:positionH>
            <wp:positionV relativeFrom="paragraph">
              <wp:posOffset>77470</wp:posOffset>
            </wp:positionV>
            <wp:extent cx="2162175" cy="1446530"/>
            <wp:effectExtent l="0" t="0" r="9525" b="1270"/>
            <wp:wrapSquare wrapText="bothSides"/>
            <wp:docPr id="47" name="Picture 47"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UDigitalCovidCertificat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6217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B9F">
        <w:rPr>
          <w:color w:val="404040"/>
          <w:szCs w:val="18"/>
        </w:rPr>
        <w:t xml:space="preserve">Începând din vară, rata de vaccinare a crescut semnificativ, iar certificatul digital al UE privind COVID a fost pus în aplicare cu succes, peste 650 de milioane de certificate fiind emise până în prezent. În același timp, situația epidemiologică din UE continuă </w:t>
      </w:r>
      <w:proofErr w:type="gramStart"/>
      <w:r w:rsidRPr="00933B9F">
        <w:rPr>
          <w:color w:val="404040"/>
          <w:szCs w:val="18"/>
        </w:rPr>
        <w:t>să</w:t>
      </w:r>
      <w:proofErr w:type="gramEnd"/>
      <w:r w:rsidRPr="00933B9F">
        <w:rPr>
          <w:color w:val="404040"/>
          <w:szCs w:val="18"/>
        </w:rPr>
        <w:t xml:space="preserve"> evolueze, iar unele state membre au adoptat măsuri suplimentare de sănătate publică, inclusiv administrarea de doze de rapel. Ținând seama de toți acești factori, Comisia propune să se pună un accent mai puternic pe o abordare „personalizată” a măsurilor privind călătoriile și pe o perioadă standard de acceptare a certificatelor de vaccinare de 9 luni de la seria de vaccinare primară. Perioada de 9 luni ia în considerare orientările oferite de </w:t>
      </w:r>
      <w:hyperlink r:id="rId143" w:history="1">
        <w:r w:rsidRPr="00933B9F">
          <w:rPr>
            <w:rStyle w:val="Hyperlink"/>
            <w:rFonts w:cs="Arial"/>
            <w:color w:val="004494"/>
          </w:rPr>
          <w:t>Centrul European de Prevenire și Control al Bolilor</w:t>
        </w:r>
      </w:hyperlink>
      <w:hyperlink r:id="rId144" w:history="1">
        <w:r w:rsidRPr="00933B9F">
          <w:rPr>
            <w:rStyle w:val="wtoffscreen"/>
            <w:color w:val="999999"/>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r w:rsidRPr="00933B9F">
        <w:rPr>
          <w:color w:val="404040"/>
          <w:szCs w:val="18"/>
        </w:rPr>
        <w:t> (ECDC) privind administrarea dozelor de rapel după o perioadă de 6 luni și prevede o perioadă suplimentară de 3 luni pentru a se asigura faptul că campaniile naționale de vaccinare se pot adapta, iar cetățenii pot avea acces la dozele de rapel.</w:t>
      </w:r>
    </w:p>
    <w:p w14:paraId="5523C75D"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Comisia propune, de asemenea, actualizări ale hărții UE bazate pe codul de culori, precum și o procedură simplificată de activare a „frânei de urgență”. </w:t>
      </w:r>
    </w:p>
    <w:p w14:paraId="58A42914"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De asemenea, Comisia propune astăzi actualizarea normelor privind </w:t>
      </w:r>
      <w:hyperlink r:id="rId145" w:history="1">
        <w:r w:rsidRPr="00933B9F">
          <w:rPr>
            <w:rStyle w:val="Hyperlink"/>
            <w:rFonts w:cs="Arial"/>
            <w:color w:val="004494"/>
          </w:rPr>
          <w:t>călătoriile dinspre țări terțe către UE</w:t>
        </w:r>
      </w:hyperlink>
      <w:hyperlink r:id="rId146"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[comunicat de presă disponibil la 14:15].</w:t>
      </w:r>
    </w:p>
    <w:p w14:paraId="2CC8CC7E"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Didier </w:t>
      </w:r>
      <w:r w:rsidRPr="00933B9F">
        <w:rPr>
          <w:rStyle w:val="Strong"/>
          <w:color w:val="404040"/>
        </w:rPr>
        <w:t>Reynders</w:t>
      </w:r>
      <w:r w:rsidRPr="00933B9F">
        <w:rPr>
          <w:rFonts w:ascii="Verdana" w:hAnsi="Verdana"/>
          <w:color w:val="404040"/>
          <w:sz w:val="18"/>
          <w:szCs w:val="18"/>
        </w:rPr>
        <w:t>, comisarul pentru justiție, a declarat: </w:t>
      </w:r>
      <w:r w:rsidRPr="00933B9F">
        <w:rPr>
          <w:rStyle w:val="Emphasis"/>
          <w:color w:val="404040"/>
        </w:rPr>
        <w:t>De la începutul pandemiei, Comisia a fost pe deplin activă în găsirea de soluții pentru a garanta în mod coordonat libera circulație a persoanelor în condiții de siguranță. Având în vedere cele mai recente evoluții și dovezi științifice, propunem o nouă recomandare care urmează să fie adoptată de Consiliu. Pe baza instrumentului nostru comun, certificatul digital al UE privind COVID, care a devenit un adevărat standard, ne îndreptăm către o abordare „personalizată”. Obiectivul nostru principal este evitarea unor măsuri divergente în întreaga UE. Acest lucru este valabil și în ceea ce privește dozele de rapel, care vor fi esențiale pentru combaterea virusului. Printre alte măsuri, propunem astăzi ca Consiliul să convină asupra unei perioade standard de valabilitate pentru certificatele de vaccinare eliberate în urma seriei primare. Va fi esențial, pentru lunile următoare și pentru protejarea liberei circulații a cetățenilor în condiții de siguranță, să se ajungă la un acord cu privire la această propunere.</w:t>
      </w:r>
    </w:p>
    <w:p w14:paraId="2E59CAA7"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Stella </w:t>
      </w:r>
      <w:r w:rsidRPr="00933B9F">
        <w:rPr>
          <w:rStyle w:val="Strong"/>
          <w:color w:val="404040"/>
        </w:rPr>
        <w:t>Kyriakides</w:t>
      </w:r>
      <w:r w:rsidRPr="00933B9F">
        <w:rPr>
          <w:rFonts w:ascii="Verdana" w:hAnsi="Verdana"/>
          <w:color w:val="404040"/>
          <w:sz w:val="18"/>
          <w:szCs w:val="18"/>
        </w:rPr>
        <w:t xml:space="preserve">, comisarul pentru sănătate și siguranță alimentară, </w:t>
      </w:r>
      <w:proofErr w:type="gramStart"/>
      <w:r w:rsidRPr="00933B9F">
        <w:rPr>
          <w:rFonts w:ascii="Verdana" w:hAnsi="Verdana"/>
          <w:color w:val="404040"/>
          <w:sz w:val="18"/>
          <w:szCs w:val="18"/>
        </w:rPr>
        <w:t>a</w:t>
      </w:r>
      <w:proofErr w:type="gramEnd"/>
      <w:r w:rsidRPr="00933B9F">
        <w:rPr>
          <w:rFonts w:ascii="Verdana" w:hAnsi="Verdana"/>
          <w:color w:val="404040"/>
          <w:sz w:val="18"/>
          <w:szCs w:val="18"/>
        </w:rPr>
        <w:t xml:space="preserve"> adăugat: </w:t>
      </w:r>
      <w:r w:rsidRPr="00933B9F">
        <w:rPr>
          <w:rStyle w:val="Emphasis"/>
          <w:color w:val="404040"/>
        </w:rPr>
        <w:t>Certificatul digital al UE privind COVID și abordarea noastră coordonată cu privire la măsurile referitoare la călătorii au contribuit semnificativ la libera circulație în condiții de siguranță, protecția sănătății publice fiind prioritatea noastră. Peste 65 % din populația totală a UE a fost vaccinată, dar acest lucru nu este suficient. Prea multe persoane nu sunt încă protejate. Pentru ca toată lumea să călătorească și să trăiască în cel mai sigur mod posibil, trebuie să ajungem urgent la rate de vaccinare semnificativ mai ridicate. De asemenea, trebuie să ne consolidăm imunitatea cu ajutorul dozelor de rapel. Ținând seama de orientările ECDC și pentru a le permite statelor membre să își adapteze campaniile de vaccinare și pentru ca cetățenii să aibă acces la doze de rapel, propunem o perioadă standard de acceptare pentru certificatele de vaccinare. În același timp, trebuie să continuăm să îi încurajăm cu fermitate pe toți cetățenii să respecte în continuare măsurile de sănătate publică. Trebuie să purtăm în continuare măștile.</w:t>
      </w:r>
    </w:p>
    <w:p w14:paraId="45C02A15"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Style w:val="Strong"/>
          <w:color w:val="404040"/>
        </w:rPr>
        <w:t>Principalele actualizări</w:t>
      </w:r>
      <w:r w:rsidRPr="00933B9F">
        <w:rPr>
          <w:rFonts w:ascii="Verdana" w:hAnsi="Verdana"/>
          <w:color w:val="404040"/>
          <w:sz w:val="18"/>
          <w:szCs w:val="18"/>
        </w:rPr>
        <w:t> ale abordării comune în ceea ce privește măsurile de călătorie în cadrul UE propuse de Comisie sunt:</w:t>
      </w:r>
    </w:p>
    <w:p w14:paraId="781B310E" w14:textId="77777777" w:rsidR="00CF3E11" w:rsidRPr="00933B9F" w:rsidRDefault="00CF3E11" w:rsidP="00933B9F">
      <w:pPr>
        <w:numPr>
          <w:ilvl w:val="0"/>
          <w:numId w:val="24"/>
        </w:numPr>
        <w:ind w:left="0"/>
        <w:rPr>
          <w:color w:val="404040"/>
          <w:szCs w:val="18"/>
        </w:rPr>
      </w:pPr>
      <w:r w:rsidRPr="00933B9F">
        <w:rPr>
          <w:rStyle w:val="Strong"/>
          <w:color w:val="404040"/>
        </w:rPr>
        <w:lastRenderedPageBreak/>
        <w:t>Concentrarea asupra unei „abordări personalizate”</w:t>
      </w:r>
      <w:r w:rsidRPr="00933B9F">
        <w:rPr>
          <w:color w:val="404040"/>
          <w:szCs w:val="18"/>
        </w:rPr>
        <w:t>: o persoană care deține un certificat digital al UE privind COVID valabil nu ar trebui, în principiu, să fie supusă unor restricții suplimentare, cum ar fi testele sau carantina, indiferent de locul de plecare în UE. Persoanelor care nu dețin un certificat digital al UE privind COVID li s-ar putea cere să facă un test înainte sau după sosire.</w:t>
      </w:r>
    </w:p>
    <w:p w14:paraId="4635E697" w14:textId="77777777" w:rsidR="00CF3E11" w:rsidRPr="00933B9F" w:rsidRDefault="00CF3E11" w:rsidP="00933B9F">
      <w:pPr>
        <w:numPr>
          <w:ilvl w:val="0"/>
          <w:numId w:val="24"/>
        </w:numPr>
        <w:ind w:left="0"/>
        <w:rPr>
          <w:color w:val="404040"/>
          <w:szCs w:val="18"/>
        </w:rPr>
      </w:pPr>
      <w:r w:rsidRPr="00933B9F">
        <w:rPr>
          <w:rStyle w:val="Strong"/>
          <w:color w:val="404040"/>
        </w:rPr>
        <w:t>Valabilitatea standard a certificatelor de vaccinare:</w:t>
      </w:r>
      <w:r w:rsidRPr="00933B9F">
        <w:rPr>
          <w:color w:val="404040"/>
          <w:szCs w:val="18"/>
        </w:rPr>
        <w:t> pentru a evita abordările divergente și perturbatoare, Comisia propune o perioadă standard de acceptare de 9 luni pentru certificatele de vaccinare eliberate după finalizarea seriei de vaccinare primară. Perioada de 9 luni ia în considerare orientările oferite de </w:t>
      </w:r>
      <w:hyperlink r:id="rId147" w:history="1">
        <w:r w:rsidRPr="00933B9F">
          <w:rPr>
            <w:rStyle w:val="Hyperlink"/>
            <w:rFonts w:cs="Arial"/>
            <w:color w:val="004494"/>
          </w:rPr>
          <w:t>Centrul European de Prevenire și Control al Bolilor</w:t>
        </w:r>
      </w:hyperlink>
      <w:hyperlink r:id="rId148" w:history="1">
        <w:r w:rsidRPr="00933B9F">
          <w:rPr>
            <w:rStyle w:val="wtoffscreen"/>
            <w:color w:val="999999"/>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r w:rsidRPr="00933B9F">
        <w:rPr>
          <w:color w:val="404040"/>
          <w:szCs w:val="18"/>
        </w:rPr>
        <w:t> (ECDC) privind administrarea dozelor de rapel după o perioadă de 6 luni și prevede o perioadă suplimentară de 3 luni pentru a se asigura posibilitatea de a adapta campaniile naționale de vaccinare și faptul că cetățenii pot avea acces la dozele de rapel. Aceasta înseamnă că, în contextul călătoriilor, statele membre nu ar trebui să refuze un certificat de vaccinare eliberat la mai puțin de 9 luni de la administrarea ultimei doze a vaccinării primare. Statele membre ar trebui să ia imediat toate măsurile necesare pentru a asigura accesul la vaccinare pentru acele grupuri de populație ale căror certificate de vaccinare emise anterior se apropie de limita de 9 luni.</w:t>
      </w:r>
    </w:p>
    <w:p w14:paraId="1CDBF61D" w14:textId="77777777" w:rsidR="00CF3E11" w:rsidRPr="00933B9F" w:rsidRDefault="00CF3E11" w:rsidP="00933B9F">
      <w:pPr>
        <w:numPr>
          <w:ilvl w:val="0"/>
          <w:numId w:val="24"/>
        </w:numPr>
        <w:ind w:left="0"/>
        <w:rPr>
          <w:color w:val="404040"/>
          <w:szCs w:val="18"/>
        </w:rPr>
      </w:pPr>
      <w:r w:rsidRPr="00933B9F">
        <w:rPr>
          <w:rStyle w:val="Strong"/>
          <w:color w:val="404040"/>
        </w:rPr>
        <w:t>Doze de rapel:</w:t>
      </w:r>
      <w:r w:rsidRPr="00933B9F">
        <w:rPr>
          <w:color w:val="404040"/>
          <w:szCs w:val="18"/>
        </w:rPr>
        <w:t> până în prezent, nu există studii care să abordeze în mod expres eficacitatea dozelor de rapel în ceea ce privește transmiterea COVID-19 și, prin urmare, nu este posibil să se stabilească o perioadă de acceptare pentru dozele de rapel. Cu toate acestea, având în vedere datele nou-apărute, este de așteptat ca protecția rezultată în urma dozelor de rapel să dureze, posibil, mai mult decât cea care rezultă din seria de vaccinare primară. Comisia va monitoriza îndeaproape noile dovezi științifice care apar cu privire la această chestiune. Pe baza acestor dovezi, Comisia poate propune, dacă este necesar, o perioadă de acceptare adecvată și pentru certificatele de vaccinare eliberate în urma administrării unei doze de rapel.</w:t>
      </w:r>
    </w:p>
    <w:p w14:paraId="3D7D8669" w14:textId="77777777" w:rsidR="00CF3E11" w:rsidRPr="00933B9F" w:rsidRDefault="00CF3E11" w:rsidP="00933B9F">
      <w:pPr>
        <w:numPr>
          <w:ilvl w:val="0"/>
          <w:numId w:val="24"/>
        </w:numPr>
        <w:ind w:left="0"/>
        <w:rPr>
          <w:color w:val="404040"/>
          <w:szCs w:val="18"/>
        </w:rPr>
      </w:pPr>
      <w:r w:rsidRPr="00933B9F">
        <w:rPr>
          <w:rStyle w:val="Strong"/>
          <w:color w:val="404040"/>
        </w:rPr>
        <w:t>Adaptarea hărții UE bazate pe codul de culori prin:</w:t>
      </w:r>
      <w:r w:rsidRPr="00933B9F">
        <w:rPr>
          <w:color w:val="404040"/>
          <w:szCs w:val="18"/>
        </w:rPr>
        <w:t> combinarea cazurilor noi cu rata de vaccinare a unei regiuni. Harta ar avea în principal un scop informativ, dar ar servi, de asemenea, la coordonarea măsurilor pentru zonele cu un nivel deosebit de scăzut („verde”) sau deosebit de ridicat („roșu închis”) al circulației virusului. Pentru aceste zone, s-ar aplica norme specifice prin derogare de la „abordarea personalizată”. Pentru călătorii din zonele „verzi” nu ar trebui să se aplice restricții. Călătoriile înspre și dinspre zonele „roșu închis” ar trebui descurajate, având în vedere numărul mare de noi infecții, iar persoanele care nu sunt vaccinate și nici vindecate ar trebui să fie obligate să se supună unui test înainte de plecare și carantinei după sosire (cu norme speciale pentru călătorii esențiali și pentru copiii cu vârsta sub 12 ani).</w:t>
      </w:r>
    </w:p>
    <w:p w14:paraId="139A35C0" w14:textId="77777777" w:rsidR="00CF3E11" w:rsidRPr="00933B9F" w:rsidRDefault="00CF3E11" w:rsidP="00933B9F">
      <w:pPr>
        <w:numPr>
          <w:ilvl w:val="0"/>
          <w:numId w:val="24"/>
        </w:numPr>
        <w:ind w:left="0"/>
        <w:rPr>
          <w:color w:val="404040"/>
          <w:szCs w:val="18"/>
        </w:rPr>
      </w:pPr>
      <w:r w:rsidRPr="00933B9F">
        <w:rPr>
          <w:rStyle w:val="Strong"/>
          <w:color w:val="404040"/>
        </w:rPr>
        <w:t>Derogări de la anumite măsuri privind călătoriile:</w:t>
      </w:r>
      <w:r w:rsidRPr="00933B9F">
        <w:rPr>
          <w:color w:val="404040"/>
          <w:szCs w:val="18"/>
        </w:rPr>
        <w:t> ar trebui să se aplice navetiștilor transfrontalieri, copiilor cu vârsta sub 12 ani și călătorilor esențiali. Lista călătorilor esențiali ar trebui redusă, deoarece mulți călători incluși pe lista actuală au avut posibilitatea de a fi vaccinați între timp.</w:t>
      </w:r>
    </w:p>
    <w:p w14:paraId="1E0CC4CB" w14:textId="77777777" w:rsidR="00CF3E11" w:rsidRPr="00933B9F" w:rsidRDefault="00CF3E11" w:rsidP="00933B9F">
      <w:pPr>
        <w:numPr>
          <w:ilvl w:val="0"/>
          <w:numId w:val="24"/>
        </w:numPr>
        <w:ind w:left="0"/>
        <w:rPr>
          <w:color w:val="404040"/>
          <w:szCs w:val="18"/>
        </w:rPr>
      </w:pPr>
      <w:r w:rsidRPr="00933B9F">
        <w:rPr>
          <w:rStyle w:val="Strong"/>
          <w:color w:val="404040"/>
        </w:rPr>
        <w:t>Procedura simplificată de activare a „frânei de urgență”:</w:t>
      </w:r>
      <w:r w:rsidRPr="00933B9F">
        <w:rPr>
          <w:color w:val="404040"/>
          <w:szCs w:val="18"/>
        </w:rPr>
        <w:t> procedura de urgență menită să întârzie răspândirea unor eventuale noi variante de COVID-19 sau să abordeze situații deosebit de grave ar trebui să fie simplificată și mai operațională. Aceasta ar include o notificare din partea statelor membre către Comisie și Consiliu, precum și o masă rotundă în cadrul mecanismului integrat al Consiliului pentru un răspuns politic la crize (IPCR).</w:t>
      </w:r>
    </w:p>
    <w:p w14:paraId="6AE66281"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 xml:space="preserve">Pentru a acorda suficient timp pentru punerea în aplicare a abordării coordonate, Comisia propune ca aceste actualizări </w:t>
      </w:r>
      <w:proofErr w:type="gramStart"/>
      <w:r w:rsidRPr="00933B9F">
        <w:rPr>
          <w:rFonts w:ascii="Verdana" w:hAnsi="Verdana"/>
          <w:color w:val="404040"/>
          <w:sz w:val="18"/>
          <w:szCs w:val="18"/>
        </w:rPr>
        <w:t>să</w:t>
      </w:r>
      <w:proofErr w:type="gramEnd"/>
      <w:r w:rsidRPr="00933B9F">
        <w:rPr>
          <w:rFonts w:ascii="Verdana" w:hAnsi="Verdana"/>
          <w:color w:val="404040"/>
          <w:sz w:val="18"/>
          <w:szCs w:val="18"/>
        </w:rPr>
        <w:t xml:space="preserve"> se aplice de la 10 ianuarie 2022.</w:t>
      </w:r>
    </w:p>
    <w:p w14:paraId="235DE900"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Style w:val="Strong"/>
          <w:color w:val="404040"/>
        </w:rPr>
        <w:t>Context</w:t>
      </w:r>
    </w:p>
    <w:p w14:paraId="64C05B79"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La 3 septembrie 2020, Comisia a formulat </w:t>
      </w:r>
      <w:hyperlink r:id="rId149" w:history="1">
        <w:r w:rsidRPr="00933B9F">
          <w:rPr>
            <w:rStyle w:val="Hyperlink"/>
            <w:rFonts w:cs="Arial"/>
            <w:color w:val="004494"/>
          </w:rPr>
          <w:t>o Propunere de recomandare a Consiliului</w:t>
        </w:r>
      </w:hyperlink>
      <w:hyperlink r:id="rId150"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xml:space="preserve"> menită </w:t>
      </w:r>
      <w:proofErr w:type="gramStart"/>
      <w:r w:rsidRPr="00933B9F">
        <w:rPr>
          <w:rFonts w:ascii="Verdana" w:hAnsi="Verdana"/>
          <w:color w:val="404040"/>
          <w:sz w:val="18"/>
          <w:szCs w:val="18"/>
        </w:rPr>
        <w:t>să</w:t>
      </w:r>
      <w:proofErr w:type="gramEnd"/>
      <w:r w:rsidRPr="00933B9F">
        <w:rPr>
          <w:rFonts w:ascii="Verdana" w:hAnsi="Verdana"/>
          <w:color w:val="404040"/>
          <w:sz w:val="18"/>
          <w:szCs w:val="18"/>
        </w:rPr>
        <w:t xml:space="preserve"> garanteze că toate măsurile care restrâng libera circulație ca răspuns la pandemia de COVID-19 adoptate de statele membre sunt coordonate și comunicate clar la nivelul UE.</w:t>
      </w:r>
    </w:p>
    <w:p w14:paraId="42820CD2"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lastRenderedPageBreak/>
        <w:t xml:space="preserve">La 13 octombrie 2020, statele membre ale UE s-au angajat </w:t>
      </w:r>
      <w:proofErr w:type="gramStart"/>
      <w:r w:rsidRPr="00933B9F">
        <w:rPr>
          <w:rFonts w:ascii="Verdana" w:hAnsi="Verdana"/>
          <w:color w:val="404040"/>
          <w:sz w:val="18"/>
          <w:szCs w:val="18"/>
        </w:rPr>
        <w:t>să</w:t>
      </w:r>
      <w:proofErr w:type="gramEnd"/>
      <w:r w:rsidRPr="00933B9F">
        <w:rPr>
          <w:rFonts w:ascii="Verdana" w:hAnsi="Verdana"/>
          <w:color w:val="404040"/>
          <w:sz w:val="18"/>
          <w:szCs w:val="18"/>
        </w:rPr>
        <w:t xml:space="preserve"> asigure o coordonare mai bună și un schimb de informații mai eficient prin adoptarea </w:t>
      </w:r>
      <w:hyperlink r:id="rId151" w:history="1">
        <w:r w:rsidRPr="00933B9F">
          <w:rPr>
            <w:rStyle w:val="Hyperlink"/>
            <w:rFonts w:cs="Arial"/>
            <w:color w:val="004494"/>
          </w:rPr>
          <w:t>recomandării Consiliului</w:t>
        </w:r>
      </w:hyperlink>
      <w:hyperlink r:id="rId152"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w:t>
      </w:r>
    </w:p>
    <w:p w14:paraId="1232A24B"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La 1 februarie 2021, Consiliul a adoptat o </w:t>
      </w:r>
      <w:hyperlink r:id="rId153" w:history="1">
        <w:r w:rsidRPr="00933B9F">
          <w:rPr>
            <w:rStyle w:val="Hyperlink"/>
            <w:rFonts w:cs="Arial"/>
            <w:color w:val="004494"/>
          </w:rPr>
          <w:t>primă actualizare</w:t>
        </w:r>
      </w:hyperlink>
      <w:hyperlink r:id="rId154"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a recomandării Consiliului, care a introdus o nouă culoare, „roșu închis”, pentru marcarea zonelor de risc și a stabilit aplicarea de măsuri mai stricte călătorilor care sosesc din zonele cu risc ridicat.</w:t>
      </w:r>
    </w:p>
    <w:p w14:paraId="3B88CE18"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La 20 mai 2021, Consiliul a modificat </w:t>
      </w:r>
      <w:hyperlink r:id="rId155" w:history="1">
        <w:r w:rsidRPr="00933B9F">
          <w:rPr>
            <w:rStyle w:val="Hyperlink"/>
            <w:rFonts w:cs="Arial"/>
            <w:color w:val="004494"/>
          </w:rPr>
          <w:t>recomandarea Consiliului</w:t>
        </w:r>
      </w:hyperlink>
      <w:hyperlink r:id="rId156"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xml:space="preserve"> pentru a permite călătoriile neesențiale ale persoanelor complet vaccinate, precum și pentru a consolida măsurile de limitare </w:t>
      </w:r>
      <w:proofErr w:type="gramStart"/>
      <w:r w:rsidRPr="00933B9F">
        <w:rPr>
          <w:rFonts w:ascii="Verdana" w:hAnsi="Verdana"/>
          <w:color w:val="404040"/>
          <w:sz w:val="18"/>
          <w:szCs w:val="18"/>
        </w:rPr>
        <w:t>a</w:t>
      </w:r>
      <w:proofErr w:type="gramEnd"/>
      <w:r w:rsidRPr="00933B9F">
        <w:rPr>
          <w:rFonts w:ascii="Verdana" w:hAnsi="Verdana"/>
          <w:color w:val="404040"/>
          <w:sz w:val="18"/>
          <w:szCs w:val="18"/>
        </w:rPr>
        <w:t xml:space="preserve"> răspândirii variantelor care suscită îngrijorare.</w:t>
      </w:r>
    </w:p>
    <w:p w14:paraId="0A574710"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La 14 iunie 2021, Parlamentul și Consiliul au adoptat Regulamentul de instituire a cadrului referitor la </w:t>
      </w:r>
      <w:hyperlink r:id="rId157" w:history="1">
        <w:r w:rsidRPr="00933B9F">
          <w:rPr>
            <w:rStyle w:val="Hyperlink"/>
            <w:rFonts w:cs="Arial"/>
            <w:color w:val="004494"/>
          </w:rPr>
          <w:t>certificatul digital al UE privind COVID</w:t>
        </w:r>
      </w:hyperlink>
      <w:hyperlink r:id="rId158"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Pentru a utiliza în mod optim certificatul digital al UE privind COVID, Consiliul a adoptat, în aceeași zi, o </w:t>
      </w:r>
      <w:hyperlink r:id="rId159" w:history="1">
        <w:r w:rsidRPr="00933B9F">
          <w:rPr>
            <w:rStyle w:val="Hyperlink"/>
            <w:rFonts w:cs="Arial"/>
            <w:color w:val="004494"/>
          </w:rPr>
          <w:t>a doua actualizare</w:t>
        </w:r>
      </w:hyperlink>
      <w:hyperlink r:id="rId160"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a recomandării Consiliului, care prevede derogări de la restricțiile de călătorie pentru persoanele complet vaccinate și pentru persoanele vindecate.</w:t>
      </w:r>
    </w:p>
    <w:p w14:paraId="514DEA35"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Începând din iunie 2021, introducerea certificatului digital al UE privind COVID a progresat într-un ritm rapid. La </w:t>
      </w:r>
      <w:hyperlink r:id="rId161" w:history="1">
        <w:r w:rsidRPr="00933B9F">
          <w:rPr>
            <w:rStyle w:val="Hyperlink"/>
            <w:rFonts w:cs="Arial"/>
            <w:color w:val="004494"/>
          </w:rPr>
          <w:t>18 octombrie 2021</w:t>
        </w:r>
      </w:hyperlink>
      <w:hyperlink r:id="rId162"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Comisia a publicat primul raport privind sistemul </w:t>
      </w:r>
      <w:hyperlink r:id="rId163" w:history="1">
        <w:r w:rsidRPr="00933B9F">
          <w:rPr>
            <w:rStyle w:val="Hyperlink"/>
            <w:rFonts w:cs="Arial"/>
            <w:color w:val="004494"/>
          </w:rPr>
          <w:t>certificatului digital al UE privind COVID</w:t>
        </w:r>
      </w:hyperlink>
      <w:hyperlink r:id="rId164"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un instrument disponibil pe scară largă și acceptat în mod fiabil pentru a facilita libera circulație în timpul pandemiei de COVID-19.</w:t>
      </w:r>
    </w:p>
    <w:p w14:paraId="351ED257"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Având în vedere aceste evoluții, abordarea comună prevăzută în </w:t>
      </w:r>
      <w:hyperlink r:id="rId165" w:history="1">
        <w:r w:rsidRPr="00933B9F">
          <w:rPr>
            <w:rStyle w:val="Hyperlink"/>
            <w:rFonts w:cs="Arial"/>
            <w:color w:val="004494"/>
          </w:rPr>
          <w:t>Recomandarea (UE) 2020/1475</w:t>
        </w:r>
      </w:hyperlink>
      <w:hyperlink r:id="rId166"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a Consiliului ar trebui adaptată în continuare, solicitare formulată, de asemenea, de Consiliul European în </w:t>
      </w:r>
      <w:hyperlink r:id="rId167" w:history="1">
        <w:r w:rsidRPr="00933B9F">
          <w:rPr>
            <w:rStyle w:val="Hyperlink"/>
            <w:rFonts w:cs="Arial"/>
            <w:color w:val="004494"/>
          </w:rPr>
          <w:t>concluziile sale din 22 octombrie 2021</w:t>
        </w:r>
      </w:hyperlink>
      <w:r w:rsidRPr="00933B9F">
        <w:rPr>
          <w:rFonts w:ascii="Verdana" w:hAnsi="Verdana"/>
          <w:color w:val="404040"/>
          <w:sz w:val="18"/>
          <w:szCs w:val="18"/>
        </w:rPr>
        <w:t>.</w:t>
      </w:r>
    </w:p>
    <w:p w14:paraId="7A781A56"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În paralel, ca și în cazul Regulamentului UE privind certificatul digital, Comisia </w:t>
      </w:r>
      <w:hyperlink r:id="rId168" w:history="1">
        <w:r w:rsidRPr="00933B9F">
          <w:rPr>
            <w:rStyle w:val="Hyperlink"/>
            <w:rFonts w:cs="Arial"/>
            <w:color w:val="004494"/>
          </w:rPr>
          <w:t>a adoptat astăzi o propunere care vizează, de asemenea, resortisanții țărilor terțe care își au reședința legală în UE</w:t>
        </w:r>
      </w:hyperlink>
      <w:hyperlink r:id="rId169"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și resortisanții țărilor terțe care au intrat în mod legal pe teritoriul unui stat membru, care pot circula liber pe teritoriul tuturor celorlalte state membre pentru o perioadă de cel mult 90 de zile în cursul oricărei perioade de 180 de zile. Cele mai recente informații referitoare la normele privind călătoriile, astfel cum au fost comunicate de statele membre, sunt disponibile pe </w:t>
      </w:r>
      <w:hyperlink r:id="rId170" w:history="1">
        <w:r w:rsidRPr="00933B9F">
          <w:rPr>
            <w:rStyle w:val="Hyperlink"/>
            <w:rFonts w:cs="Arial"/>
            <w:color w:val="004494"/>
          </w:rPr>
          <w:t>site-ul web Re-open EU</w:t>
        </w:r>
      </w:hyperlink>
      <w:hyperlink r:id="rId171"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w:t>
      </w:r>
    </w:p>
    <w:p w14:paraId="6C974110"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Style w:val="Strong"/>
          <w:color w:val="404040"/>
        </w:rPr>
        <w:t>Informații suplimentare</w:t>
      </w:r>
    </w:p>
    <w:p w14:paraId="01A7EB57" w14:textId="77777777" w:rsidR="00CF3E11" w:rsidRPr="00933B9F" w:rsidRDefault="00CF3E11" w:rsidP="00933B9F">
      <w:pPr>
        <w:pStyle w:val="NormalWeb"/>
        <w:spacing w:before="120" w:beforeAutospacing="0" w:after="0" w:afterAutospacing="0"/>
        <w:rPr>
          <w:rFonts w:ascii="Verdana" w:hAnsi="Verdana"/>
          <w:color w:val="404040"/>
          <w:sz w:val="18"/>
          <w:szCs w:val="18"/>
        </w:rPr>
      </w:pPr>
      <w:hyperlink r:id="rId172" w:history="1">
        <w:r w:rsidRPr="00933B9F">
          <w:rPr>
            <w:rStyle w:val="Hyperlink"/>
            <w:rFonts w:cs="Arial"/>
            <w:color w:val="004494"/>
          </w:rPr>
          <w:t>Întrebări și răspunsuri privind noua Propunere a Comisiei de recomandare a Consiliului pentru facilitarea liberei circulații în condiții de siguranță în timpul pandemiei de COVID-19</w:t>
        </w:r>
      </w:hyperlink>
      <w:hyperlink r:id="rId173"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p>
    <w:p w14:paraId="21FC2B12" w14:textId="77777777" w:rsidR="00CF3E11" w:rsidRPr="00933B9F" w:rsidRDefault="00CF3E11" w:rsidP="00933B9F">
      <w:pPr>
        <w:pStyle w:val="NormalWeb"/>
        <w:spacing w:before="120" w:beforeAutospacing="0" w:after="0" w:afterAutospacing="0"/>
        <w:rPr>
          <w:rFonts w:ascii="Verdana" w:hAnsi="Verdana"/>
          <w:color w:val="404040"/>
          <w:sz w:val="18"/>
          <w:szCs w:val="18"/>
        </w:rPr>
      </w:pPr>
      <w:hyperlink r:id="rId174" w:history="1">
        <w:r w:rsidRPr="00933B9F">
          <w:rPr>
            <w:rStyle w:val="Hyperlink"/>
            <w:rFonts w:cs="Arial"/>
            <w:color w:val="004494"/>
          </w:rPr>
          <w:t>Fișă informativă privind noua propunere a Comisiei de asigurare a coordonării în ceea ce privește călătoriile în condiții de siguranță în UE</w:t>
        </w:r>
      </w:hyperlink>
      <w:hyperlink r:id="rId175"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p>
    <w:p w14:paraId="620D096F" w14:textId="77777777" w:rsidR="00CF3E11" w:rsidRPr="00933B9F" w:rsidRDefault="00CF3E11" w:rsidP="00933B9F">
      <w:pPr>
        <w:pStyle w:val="NormalWeb"/>
        <w:spacing w:before="120" w:beforeAutospacing="0" w:after="0" w:afterAutospacing="0"/>
        <w:rPr>
          <w:rFonts w:ascii="Verdana" w:hAnsi="Verdana"/>
          <w:color w:val="404040"/>
          <w:sz w:val="18"/>
          <w:szCs w:val="18"/>
        </w:rPr>
      </w:pPr>
      <w:hyperlink r:id="rId176" w:history="1">
        <w:r w:rsidRPr="00933B9F">
          <w:rPr>
            <w:rStyle w:val="Hyperlink"/>
            <w:rFonts w:cs="Arial"/>
            <w:color w:val="004494"/>
          </w:rPr>
          <w:t>Fișă informativă privind COVID-19: călătoriile și măsurile sanitare în UE</w:t>
        </w:r>
      </w:hyperlink>
      <w:hyperlink r:id="rId177"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p>
    <w:p w14:paraId="292FDFFF" w14:textId="77777777" w:rsidR="00CF3E11" w:rsidRPr="00933B9F" w:rsidRDefault="00CF3E11"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lastRenderedPageBreak/>
        <w:t>Propunere de </w:t>
      </w:r>
      <w:hyperlink r:id="rId178" w:history="1">
        <w:r w:rsidRPr="00933B9F">
          <w:rPr>
            <w:rStyle w:val="Hyperlink"/>
            <w:rFonts w:cs="Arial"/>
            <w:color w:val="004494"/>
          </w:rPr>
          <w:t>recomandare a Consiliului privind o abordare coordonată pentru a facilita libera circulație în condiții de siguranță în timpul pandemiei de COVID-19 și de înlocuire a Recomandării (UE) 2020/1475</w:t>
        </w:r>
      </w:hyperlink>
      <w:hyperlink r:id="rId179"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EN</w:t>
        </w:r>
        <w:r w:rsidRPr="00933B9F">
          <w:rPr>
            <w:rStyle w:val="Hyperlink"/>
            <w:b/>
            <w:bCs/>
            <w:color w:val="CCCCCC"/>
            <w:bdr w:val="single" w:sz="6" w:space="2" w:color="AAAAAA" w:frame="1"/>
            <w:shd w:val="clear" w:color="auto" w:fill="FFFFFF"/>
          </w:rPr>
          <w:t>•••</w:t>
        </w:r>
      </w:hyperlink>
    </w:p>
    <w:p w14:paraId="2CB114C0" w14:textId="77777777" w:rsidR="00CF3E11" w:rsidRPr="00933B9F" w:rsidRDefault="00CF3E11" w:rsidP="00933B9F">
      <w:pPr>
        <w:pStyle w:val="NormalWeb"/>
        <w:spacing w:before="120" w:beforeAutospacing="0" w:after="0" w:afterAutospacing="0"/>
        <w:rPr>
          <w:rFonts w:ascii="Verdana" w:hAnsi="Verdana"/>
          <w:color w:val="404040"/>
          <w:sz w:val="18"/>
          <w:szCs w:val="18"/>
        </w:rPr>
      </w:pPr>
      <w:hyperlink r:id="rId180" w:history="1">
        <w:r w:rsidRPr="00933B9F">
          <w:rPr>
            <w:rStyle w:val="Hyperlink"/>
            <w:rFonts w:cs="Arial"/>
            <w:color w:val="004494"/>
          </w:rPr>
          <w:t>Certificatul digital al UE privind COVID: un standard global cu peste 591 de milioane de certificate</w:t>
        </w:r>
      </w:hyperlink>
      <w:hyperlink r:id="rId181"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p>
    <w:p w14:paraId="2075DECC" w14:textId="77777777" w:rsidR="00CF3E11" w:rsidRPr="00933B9F" w:rsidRDefault="00CF3E11" w:rsidP="00933B9F">
      <w:pPr>
        <w:pStyle w:val="NormalWeb"/>
        <w:spacing w:before="120" w:beforeAutospacing="0" w:after="0" w:afterAutospacing="0"/>
        <w:rPr>
          <w:rFonts w:ascii="Verdana" w:hAnsi="Verdana"/>
          <w:color w:val="404040"/>
          <w:sz w:val="18"/>
          <w:szCs w:val="18"/>
        </w:rPr>
      </w:pPr>
      <w:hyperlink r:id="rId182" w:history="1">
        <w:r w:rsidRPr="00933B9F">
          <w:rPr>
            <w:rStyle w:val="Hyperlink"/>
            <w:rFonts w:cs="Arial"/>
            <w:color w:val="004494"/>
          </w:rPr>
          <w:t>ReopenEU</w:t>
        </w:r>
      </w:hyperlink>
      <w:hyperlink r:id="rId183"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p>
    <w:p w14:paraId="555D957E" w14:textId="6C83E81B" w:rsidR="00CF3E11" w:rsidRPr="00933B9F" w:rsidRDefault="00CF3E11" w:rsidP="00933B9F">
      <w:pPr>
        <w:pStyle w:val="Stilsursa"/>
      </w:pPr>
      <w:r w:rsidRPr="00933B9F">
        <w:t>*</w:t>
      </w:r>
    </w:p>
    <w:p w14:paraId="404BE815" w14:textId="77777777" w:rsidR="001B2877" w:rsidRPr="00933B9F" w:rsidRDefault="001B2877" w:rsidP="00933B9F">
      <w:pPr>
        <w:pStyle w:val="TitluArticolinINFOUE"/>
        <w:rPr>
          <w:lang w:eastAsia="ro-RO"/>
        </w:rPr>
      </w:pPr>
      <w:bookmarkStart w:id="157" w:name="_Toc89334252"/>
      <w:r w:rsidRPr="00933B9F">
        <w:t>Comisia aprobă o schemă din România în valoare de 1,4 milioane EUR pentru sprijinirea sectorului sportului din municipiul Miercurea-Ciuc, afectat de pandemia de COVID-19</w:t>
      </w:r>
      <w:bookmarkEnd w:id="157"/>
    </w:p>
    <w:p w14:paraId="3B13496B" w14:textId="77777777" w:rsidR="001B2877" w:rsidRPr="00933B9F" w:rsidRDefault="001B2877" w:rsidP="00933B9F">
      <w:pPr>
        <w:pStyle w:val="ecl-page-header-standardiseddescription"/>
        <w:spacing w:before="120" w:beforeAutospacing="0" w:after="0" w:afterAutospacing="0"/>
        <w:rPr>
          <w:rFonts w:ascii="Verdana" w:hAnsi="Verdana" w:cs="Arial"/>
          <w:color w:val="404040"/>
          <w:sz w:val="18"/>
          <w:szCs w:val="18"/>
        </w:rPr>
      </w:pPr>
      <w:r w:rsidRPr="00933B9F">
        <w:rPr>
          <w:rFonts w:ascii="Verdana" w:hAnsi="Verdana" w:cs="Arial"/>
          <w:color w:val="404040"/>
          <w:sz w:val="18"/>
          <w:szCs w:val="18"/>
        </w:rPr>
        <w:t>Ajutoare de stat: Comisia aprobă o schemă din România în valoare de 1,4 milioane EUR pentru sprijinirea sectorului sportului din municipiul Miercurea-Ciuc, afectat de pandemia de COVID-19. </w:t>
      </w:r>
    </w:p>
    <w:p w14:paraId="516A0340" w14:textId="28494EFB" w:rsidR="001B2877" w:rsidRPr="00933B9F" w:rsidRDefault="001B2877" w:rsidP="00933B9F">
      <w:pPr>
        <w:rPr>
          <w:color w:val="404040"/>
          <w:szCs w:val="18"/>
        </w:rPr>
      </w:pPr>
      <w:r w:rsidRPr="00933B9F">
        <w:rPr>
          <w:noProof/>
          <w:szCs w:val="18"/>
          <w:lang w:eastAsia="ro-RO"/>
        </w:rPr>
        <w:drawing>
          <wp:anchor distT="0" distB="0" distL="114300" distR="114300" simplePos="0" relativeHeight="252025856" behindDoc="0" locked="0" layoutInCell="1" allowOverlap="1" wp14:anchorId="7E0FDBE8" wp14:editId="67D66E10">
            <wp:simplePos x="0" y="0"/>
            <wp:positionH relativeFrom="column">
              <wp:posOffset>2540</wp:posOffset>
            </wp:positionH>
            <wp:positionV relativeFrom="paragraph">
              <wp:posOffset>74930</wp:posOffset>
            </wp:positionV>
            <wp:extent cx="2206768" cy="1476375"/>
            <wp:effectExtent l="0" t="0" r="3175" b="0"/>
            <wp:wrapSquare wrapText="bothSides"/>
            <wp:docPr id="41" name="Picture 41" descr="Ajutoare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jutoareSta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06768" cy="1476375"/>
                    </a:xfrm>
                    <a:prstGeom prst="rect">
                      <a:avLst/>
                    </a:prstGeom>
                    <a:noFill/>
                    <a:ln>
                      <a:noFill/>
                    </a:ln>
                  </pic:spPr>
                </pic:pic>
              </a:graphicData>
            </a:graphic>
          </wp:anchor>
        </w:drawing>
      </w:r>
      <w:r w:rsidRPr="00933B9F">
        <w:rPr>
          <w:color w:val="404040"/>
          <w:szCs w:val="18"/>
        </w:rPr>
        <w:t>Comisia Europeană a aprobat o schemă din România în valoare de 1,4 milioane EUR (6,9 milioane RON) pentru sprijinirea cluburilor sportive din municipiul Miercurea-Ciuc în contextul pandemiei de COVID-19.</w:t>
      </w:r>
    </w:p>
    <w:p w14:paraId="6B0B864A" w14:textId="77777777" w:rsidR="001B2877" w:rsidRPr="00933B9F" w:rsidRDefault="001B2877"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Acest sprijin public a fost aprobat în temeiul </w:t>
      </w:r>
      <w:hyperlink r:id="rId185" w:history="1">
        <w:r w:rsidRPr="00933B9F">
          <w:rPr>
            <w:rStyle w:val="Hyperlink"/>
            <w:rFonts w:cs="Arial"/>
            <w:color w:val="004494"/>
          </w:rPr>
          <w:t>cadrului temporar</w:t>
        </w:r>
      </w:hyperlink>
      <w:hyperlink r:id="rId186" w:history="1">
        <w:r w:rsidRPr="00933B9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33B9F">
          <w:rPr>
            <w:rStyle w:val="Hyperlink"/>
            <w:color w:val="AAAAAA"/>
            <w:bdr w:val="single" w:sz="6" w:space="2" w:color="AAAAAA" w:frame="1"/>
            <w:shd w:val="clear" w:color="auto" w:fill="FFFFFF"/>
          </w:rPr>
          <w:t>RO</w:t>
        </w:r>
        <w:r w:rsidRPr="00933B9F">
          <w:rPr>
            <w:rStyle w:val="Hyperlink"/>
            <w:b/>
            <w:bCs/>
            <w:color w:val="CCCCCC"/>
            <w:bdr w:val="single" w:sz="6" w:space="2" w:color="AAAAAA" w:frame="1"/>
            <w:shd w:val="clear" w:color="auto" w:fill="FFFFFF"/>
          </w:rPr>
          <w:t>•••</w:t>
        </w:r>
      </w:hyperlink>
      <w:r w:rsidRPr="00933B9F">
        <w:rPr>
          <w:rFonts w:ascii="Verdana" w:hAnsi="Verdana"/>
          <w:color w:val="404040"/>
          <w:sz w:val="18"/>
          <w:szCs w:val="18"/>
        </w:rPr>
        <w:t> privind ajutoarele de stat. În cadrul schemei, ajutoarele vor lua forma unor granturi directe până la o valoare maximă de 700 000 EUR (3</w:t>
      </w:r>
      <w:proofErr w:type="gramStart"/>
      <w:r w:rsidRPr="00933B9F">
        <w:rPr>
          <w:rFonts w:ascii="Verdana" w:hAnsi="Verdana"/>
          <w:color w:val="404040"/>
          <w:sz w:val="18"/>
          <w:szCs w:val="18"/>
        </w:rPr>
        <w:t>,46</w:t>
      </w:r>
      <w:proofErr w:type="gramEnd"/>
      <w:r w:rsidRPr="00933B9F">
        <w:rPr>
          <w:rFonts w:ascii="Verdana" w:hAnsi="Verdana"/>
          <w:color w:val="404040"/>
          <w:sz w:val="18"/>
          <w:szCs w:val="18"/>
        </w:rPr>
        <w:t> milioane RON) per beneficiar.</w:t>
      </w:r>
    </w:p>
    <w:p w14:paraId="342BAF22" w14:textId="77777777" w:rsidR="001B2877" w:rsidRPr="00933B9F" w:rsidRDefault="001B2877"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 xml:space="preserve">Schema </w:t>
      </w:r>
      <w:proofErr w:type="gramStart"/>
      <w:r w:rsidRPr="00933B9F">
        <w:rPr>
          <w:rFonts w:ascii="Verdana" w:hAnsi="Verdana"/>
          <w:color w:val="404040"/>
          <w:sz w:val="18"/>
          <w:szCs w:val="18"/>
        </w:rPr>
        <w:t>va</w:t>
      </w:r>
      <w:proofErr w:type="gramEnd"/>
      <w:r w:rsidRPr="00933B9F">
        <w:rPr>
          <w:rFonts w:ascii="Verdana" w:hAnsi="Verdana"/>
          <w:color w:val="404040"/>
          <w:sz w:val="18"/>
          <w:szCs w:val="18"/>
        </w:rPr>
        <w:t xml:space="preserve"> fi putea fi accesată de întreprinderile mici și mijlocii (IMM-uri) care își desfășoară activitatea în sectorul sportului din municipiul Miercurea-Ciuc. Sunt eligibile pentru ajutor costurile legate de: (i) contracte de activități sportive și cheltuieli de călătorie pentru activități sportive; (ii) achiziționarea de echipamente specifice pentru sport și (iii) alte cheltuieli de exploatare legate direct de contractele de activități sportive, inclusiv pentru achiziționarea de materiale, de consumabile și de produse similare.</w:t>
      </w:r>
    </w:p>
    <w:p w14:paraId="0AEA74B6" w14:textId="77777777" w:rsidR="001B2877" w:rsidRPr="00933B9F" w:rsidRDefault="001B2877"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 xml:space="preserve">Se preconizează că schema </w:t>
      </w:r>
      <w:proofErr w:type="gramStart"/>
      <w:r w:rsidRPr="00933B9F">
        <w:rPr>
          <w:rFonts w:ascii="Verdana" w:hAnsi="Verdana"/>
          <w:color w:val="404040"/>
          <w:sz w:val="18"/>
          <w:szCs w:val="18"/>
        </w:rPr>
        <w:t>va</w:t>
      </w:r>
      <w:proofErr w:type="gramEnd"/>
      <w:r w:rsidRPr="00933B9F">
        <w:rPr>
          <w:rFonts w:ascii="Verdana" w:hAnsi="Verdana"/>
          <w:color w:val="404040"/>
          <w:sz w:val="18"/>
          <w:szCs w:val="18"/>
        </w:rPr>
        <w:t xml:space="preserve"> aduce beneficii unui număr maxim de 10 întreprinderi. Comisia a constatat că schema din România </w:t>
      </w:r>
      <w:proofErr w:type="gramStart"/>
      <w:r w:rsidRPr="00933B9F">
        <w:rPr>
          <w:rFonts w:ascii="Verdana" w:hAnsi="Verdana"/>
          <w:color w:val="404040"/>
          <w:sz w:val="18"/>
          <w:szCs w:val="18"/>
        </w:rPr>
        <w:t>este</w:t>
      </w:r>
      <w:proofErr w:type="gramEnd"/>
      <w:r w:rsidRPr="00933B9F">
        <w:rPr>
          <w:rFonts w:ascii="Verdana" w:hAnsi="Verdana"/>
          <w:color w:val="404040"/>
          <w:sz w:val="18"/>
          <w:szCs w:val="18"/>
        </w:rPr>
        <w:t xml:space="preserve"> în conformitate cu condițiile stabilite în cadrul temporar, astfel cum a fost modificat la 18 noiembrie 2021. Comisia a concluzionat că măsura este necesară, adecvată și proporțională pentru a remedia o perturbare gravă a economiei unui stat membru, în conformitate cu articolul 107 alineatul (3) litera (b) din TFUE și cu condițiile stabilite în cadrul temporar.</w:t>
      </w:r>
    </w:p>
    <w:p w14:paraId="5F8C16EC" w14:textId="77777777" w:rsidR="001B2877" w:rsidRPr="00933B9F" w:rsidRDefault="001B2877" w:rsidP="00933B9F">
      <w:pPr>
        <w:pStyle w:val="NormalWeb"/>
        <w:spacing w:before="120" w:beforeAutospacing="0" w:after="0" w:afterAutospacing="0"/>
        <w:rPr>
          <w:rFonts w:ascii="Verdana" w:hAnsi="Verdana"/>
          <w:color w:val="404040"/>
          <w:sz w:val="18"/>
          <w:szCs w:val="18"/>
        </w:rPr>
      </w:pPr>
      <w:r w:rsidRPr="00933B9F">
        <w:rPr>
          <w:rFonts w:ascii="Verdana" w:hAnsi="Verdana"/>
          <w:color w:val="404040"/>
          <w:sz w:val="18"/>
          <w:szCs w:val="18"/>
        </w:rPr>
        <w:t xml:space="preserve">Pe această bază, Comisia </w:t>
      </w:r>
      <w:proofErr w:type="gramStart"/>
      <w:r w:rsidRPr="00933B9F">
        <w:rPr>
          <w:rFonts w:ascii="Verdana" w:hAnsi="Verdana"/>
          <w:color w:val="404040"/>
          <w:sz w:val="18"/>
          <w:szCs w:val="18"/>
        </w:rPr>
        <w:t>a</w:t>
      </w:r>
      <w:proofErr w:type="gramEnd"/>
      <w:r w:rsidRPr="00933B9F">
        <w:rPr>
          <w:rFonts w:ascii="Verdana" w:hAnsi="Verdana"/>
          <w:color w:val="404040"/>
          <w:sz w:val="18"/>
          <w:szCs w:val="18"/>
        </w:rPr>
        <w:t xml:space="preserve"> aprobat măsura în temeiul normelor UE privind ajutoarele de stat. Mai multe informații cu privire la cadrul temporar și la alte măsuri luate de Comisie pentru a aborda impactul economic al pandemiei de COVID-19 pot fi găsite </w:t>
      </w:r>
      <w:hyperlink r:id="rId187" w:history="1">
        <w:r w:rsidRPr="00933B9F">
          <w:rPr>
            <w:rStyle w:val="Hyperlink"/>
            <w:rFonts w:cs="Arial"/>
            <w:color w:val="004494"/>
          </w:rPr>
          <w:t>aici</w:t>
        </w:r>
      </w:hyperlink>
      <w:r w:rsidRPr="00933B9F">
        <w:rPr>
          <w:rFonts w:ascii="Verdana" w:hAnsi="Verdana"/>
          <w:color w:val="404040"/>
          <w:sz w:val="18"/>
          <w:szCs w:val="18"/>
        </w:rPr>
        <w:t>. Versiunea neconfidențială a deciziei va fi disponibilă, cu numărul de caz SA.64595, în </w:t>
      </w:r>
      <w:hyperlink r:id="rId188" w:history="1">
        <w:r w:rsidRPr="00933B9F">
          <w:rPr>
            <w:rStyle w:val="Hyperlink"/>
            <w:rFonts w:cs="Arial"/>
            <w:color w:val="004494"/>
          </w:rPr>
          <w:t>registrul ajutoarelor de stat</w:t>
        </w:r>
      </w:hyperlink>
      <w:r w:rsidRPr="00933B9F">
        <w:rPr>
          <w:rFonts w:ascii="Verdana" w:hAnsi="Verdana"/>
          <w:color w:val="404040"/>
          <w:sz w:val="18"/>
          <w:szCs w:val="18"/>
        </w:rPr>
        <w:t> de pe site-ul web al Comisiei privind </w:t>
      </w:r>
      <w:hyperlink r:id="rId189" w:history="1">
        <w:r w:rsidRPr="00933B9F">
          <w:rPr>
            <w:rStyle w:val="Hyperlink"/>
            <w:rFonts w:cs="Arial"/>
            <w:color w:val="004494"/>
          </w:rPr>
          <w:t>concurența</w:t>
        </w:r>
      </w:hyperlink>
      <w:hyperlink r:id="rId190" w:history="1">
        <w:r w:rsidRPr="00933B9F">
          <w:rPr>
            <w:rStyle w:val="wtoffscreen"/>
            <w:rFonts w:ascii="Verdana" w:hAnsi="Verdana"/>
            <w:color w:val="BBBBBB"/>
            <w:sz w:val="18"/>
            <w:szCs w:val="18"/>
            <w:u w:val="single"/>
            <w:bdr w:val="none" w:sz="0" w:space="0" w:color="auto" w:frame="1"/>
          </w:rPr>
          <w:t>Căutați traducerile disponibile pentru linkul precedent</w:t>
        </w:r>
        <w:r w:rsidRPr="00933B9F">
          <w:rPr>
            <w:rStyle w:val="Hyperlink"/>
            <w:color w:val="BBBBBB"/>
            <w:bdr w:val="none" w:sz="0" w:space="0" w:color="auto" w:frame="1"/>
          </w:rPr>
          <w:t>EN</w:t>
        </w:r>
        <w:r w:rsidRPr="00933B9F">
          <w:rPr>
            <w:rStyle w:val="Hyperlink"/>
            <w:b/>
            <w:bCs/>
            <w:color w:val="CCCCCC"/>
            <w:bdr w:val="none" w:sz="0" w:space="0" w:color="auto" w:frame="1"/>
          </w:rPr>
          <w:t>•••</w:t>
        </w:r>
      </w:hyperlink>
      <w:r w:rsidRPr="00933B9F">
        <w:rPr>
          <w:rFonts w:ascii="Verdana" w:hAnsi="Verdana"/>
          <w:color w:val="404040"/>
          <w:sz w:val="18"/>
          <w:szCs w:val="18"/>
        </w:rPr>
        <w:t>, de îndată ce vor fi fost soluționate eventualele aspecte legate de confidențialitate.</w:t>
      </w:r>
    </w:p>
    <w:p w14:paraId="11C0BAC8" w14:textId="77777777" w:rsidR="001B2877" w:rsidRPr="00CF63FD" w:rsidRDefault="001B2877" w:rsidP="001B2877">
      <w:pPr>
        <w:pStyle w:val="Stilsursa"/>
        <w:rPr>
          <w:sz w:val="18"/>
        </w:rPr>
      </w:pPr>
      <w:r>
        <w:t xml:space="preserve">Sursa: </w:t>
      </w:r>
      <w:r w:rsidRPr="00E058B8">
        <w:t>Reprezentanța în România</w:t>
      </w:r>
      <w:r>
        <w:t xml:space="preserve"> a Comisiei Europene </w:t>
      </w:r>
      <w:r w:rsidRPr="00E058B8">
        <w:t>https://romania.representation.ec.europa.eu/index_ro</w:t>
      </w:r>
    </w:p>
    <w:p w14:paraId="65ACAD8F" w14:textId="77777777" w:rsidR="00CD4B20" w:rsidRDefault="00CD4B20" w:rsidP="00CD4B20">
      <w:pPr>
        <w:pStyle w:val="separatorcapitole"/>
        <w:ind w:right="57"/>
      </w:pPr>
      <w:r w:rsidRPr="00F50627">
        <w:sym w:font="Wingdings" w:char="F07B"/>
      </w:r>
      <w:r w:rsidRPr="00F50627">
        <w:sym w:font="Wingdings" w:char="F07B"/>
      </w:r>
      <w:r w:rsidRPr="00F50627">
        <w:sym w:font="Wingdings" w:char="F07B"/>
      </w:r>
    </w:p>
    <w:p w14:paraId="3D2DD426" w14:textId="3D2559E4" w:rsidR="00C236C1" w:rsidRPr="007F116E" w:rsidRDefault="00C236C1" w:rsidP="00C236C1">
      <w:pPr>
        <w:jc w:val="right"/>
        <w:rPr>
          <w:i/>
          <w:color w:val="0000FF"/>
          <w:sz w:val="14"/>
          <w:szCs w:val="14"/>
        </w:rPr>
      </w:pPr>
      <w:bookmarkStart w:id="158" w:name="_Hlk33092632"/>
      <w:bookmarkEnd w:id="17"/>
      <w:bookmarkEnd w:id="18"/>
      <w:bookmarkEnd w:id="125"/>
      <w:bookmarkEnd w:id="126"/>
      <w:bookmarkEnd w:id="127"/>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8"/>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B9D06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717B03D8" w:rsidR="00F5480E" w:rsidRPr="00F50627" w:rsidRDefault="005D0FC6" w:rsidP="00533FE3">
      <w:pPr>
        <w:pStyle w:val="NormalWeb"/>
        <w:spacing w:before="120" w:beforeAutospacing="0" w:after="0" w:afterAutospacing="0"/>
        <w:rPr>
          <w:rFonts w:ascii="Verdana" w:hAnsi="Verdana" w:cs="Arial"/>
          <w:color w:val="000000"/>
          <w:sz w:val="18"/>
          <w:szCs w:val="18"/>
          <w:lang w:val="ro-RO"/>
        </w:rPr>
      </w:pPr>
      <w:r>
        <w:rPr>
          <w:noProof/>
          <w:lang w:val="ro-RO" w:eastAsia="ro-RO"/>
        </w:rPr>
        <mc:AlternateContent>
          <mc:Choice Requires="wps">
            <w:drawing>
              <wp:anchor distT="0" distB="0" distL="114300" distR="114300" simplePos="0" relativeHeight="252016640" behindDoc="0" locked="0" layoutInCell="1" allowOverlap="1" wp14:anchorId="0EBB5C0F" wp14:editId="08103983">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17074A" w:rsidRDefault="0017074A" w:rsidP="00FB71DC">
                            <w:pPr>
                              <w:jc w:val="center"/>
                              <w:rPr>
                                <w:b/>
                                <w:smallCaps/>
                                <w:color w:val="000080"/>
                                <w:szCs w:val="18"/>
                                <w:u w:val="single"/>
                              </w:rPr>
                            </w:pPr>
                          </w:p>
                          <w:p w14:paraId="32A750FB" w14:textId="77777777" w:rsidR="0017074A" w:rsidRDefault="0017074A" w:rsidP="00FB71DC">
                            <w:pPr>
                              <w:jc w:val="center"/>
                              <w:rPr>
                                <w:b/>
                                <w:smallCaps/>
                                <w:color w:val="000080"/>
                                <w:szCs w:val="18"/>
                                <w:u w:val="single"/>
                              </w:rPr>
                            </w:pPr>
                          </w:p>
                          <w:p w14:paraId="57DA7989" w14:textId="77777777" w:rsidR="0017074A" w:rsidRPr="00307C1A" w:rsidRDefault="0017074A"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17074A" w:rsidRPr="00307C1A" w:rsidRDefault="0017074A"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17074A" w:rsidRPr="00100481" w:rsidRDefault="0017074A"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17074A" w:rsidRDefault="0017074A" w:rsidP="00FB71DC">
                            <w:pPr>
                              <w:spacing w:before="200"/>
                              <w:jc w:val="center"/>
                              <w:rPr>
                                <w:b/>
                                <w:smallCaps/>
                                <w:color w:val="000080"/>
                                <w:szCs w:val="18"/>
                              </w:rPr>
                            </w:pPr>
                          </w:p>
                          <w:p w14:paraId="10BB6620" w14:textId="77777777" w:rsidR="0017074A" w:rsidRDefault="0017074A" w:rsidP="00FB71DC">
                            <w:pPr>
                              <w:spacing w:before="200"/>
                              <w:jc w:val="center"/>
                              <w:rPr>
                                <w:b/>
                                <w:smallCaps/>
                                <w:color w:val="000080"/>
                                <w:szCs w:val="18"/>
                              </w:rPr>
                            </w:pPr>
                          </w:p>
                          <w:p w14:paraId="00499C2A" w14:textId="77777777" w:rsidR="0017074A" w:rsidRPr="00827DC2" w:rsidRDefault="0017074A" w:rsidP="00FB71DC">
                            <w:pPr>
                              <w:jc w:val="center"/>
                              <w:rPr>
                                <w:b/>
                                <w:smallCaps/>
                                <w:color w:val="000080"/>
                                <w:szCs w:val="18"/>
                              </w:rPr>
                            </w:pPr>
                            <w:r w:rsidRPr="00827DC2">
                              <w:rPr>
                                <w:b/>
                                <w:smallCaps/>
                                <w:color w:val="000080"/>
                                <w:szCs w:val="18"/>
                              </w:rPr>
                              <w:t>Instituţia Prefectului - Judeţul Hunedoara</w:t>
                            </w:r>
                          </w:p>
                          <w:p w14:paraId="22F8B620" w14:textId="77777777" w:rsidR="0017074A" w:rsidRPr="00A16260" w:rsidRDefault="0017074A"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17074A" w:rsidRPr="00A16260" w:rsidRDefault="001707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17074A" w:rsidRDefault="001707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17074A" w:rsidRPr="00A16260" w:rsidRDefault="0017074A" w:rsidP="00FB71DC">
                            <w:pPr>
                              <w:spacing w:before="40"/>
                              <w:jc w:val="center"/>
                              <w:rPr>
                                <w:rFonts w:ascii="Book Antiqua" w:hAnsi="Book Antiqua" w:cs="Tahoma"/>
                                <w:b/>
                                <w:szCs w:val="18"/>
                              </w:rPr>
                            </w:pPr>
                          </w:p>
                          <w:p w14:paraId="33D8A147" w14:textId="77777777" w:rsidR="0017074A" w:rsidRPr="00C85301" w:rsidRDefault="0017074A" w:rsidP="00FB71DC">
                            <w:pPr>
                              <w:spacing w:before="40"/>
                              <w:jc w:val="center"/>
                              <w:rPr>
                                <w:rStyle w:val="Hyperlink"/>
                                <w:rFonts w:ascii="Book Antiqua" w:hAnsi="Book Antiqua"/>
                              </w:rPr>
                            </w:pPr>
                            <w:hyperlink r:id="rId19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17074A" w:rsidRPr="00A16260" w:rsidRDefault="0017074A"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8" type="#_x0000_t202" style="position:absolute;margin-left:106.5pt;margin-top:69.95pt;width:231.9pt;height:49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17074A" w:rsidRDefault="0017074A" w:rsidP="00FB71DC">
                      <w:pPr>
                        <w:jc w:val="center"/>
                        <w:rPr>
                          <w:b/>
                          <w:smallCaps/>
                          <w:color w:val="000080"/>
                          <w:szCs w:val="18"/>
                          <w:u w:val="single"/>
                        </w:rPr>
                      </w:pPr>
                    </w:p>
                    <w:p w14:paraId="32A750FB" w14:textId="77777777" w:rsidR="0017074A" w:rsidRDefault="0017074A" w:rsidP="00FB71DC">
                      <w:pPr>
                        <w:jc w:val="center"/>
                        <w:rPr>
                          <w:b/>
                          <w:smallCaps/>
                          <w:color w:val="000080"/>
                          <w:szCs w:val="18"/>
                          <w:u w:val="single"/>
                        </w:rPr>
                      </w:pPr>
                    </w:p>
                    <w:p w14:paraId="57DA7989" w14:textId="77777777" w:rsidR="0017074A" w:rsidRPr="00307C1A" w:rsidRDefault="0017074A"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17074A" w:rsidRPr="00307C1A" w:rsidRDefault="0017074A"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17074A" w:rsidRPr="00100481" w:rsidRDefault="0017074A"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17074A" w:rsidRDefault="0017074A" w:rsidP="00FB71DC">
                      <w:pPr>
                        <w:spacing w:before="200"/>
                        <w:jc w:val="center"/>
                        <w:rPr>
                          <w:b/>
                          <w:smallCaps/>
                          <w:color w:val="000080"/>
                          <w:szCs w:val="18"/>
                        </w:rPr>
                      </w:pPr>
                    </w:p>
                    <w:p w14:paraId="10BB6620" w14:textId="77777777" w:rsidR="0017074A" w:rsidRDefault="0017074A" w:rsidP="00FB71DC">
                      <w:pPr>
                        <w:spacing w:before="200"/>
                        <w:jc w:val="center"/>
                        <w:rPr>
                          <w:b/>
                          <w:smallCaps/>
                          <w:color w:val="000080"/>
                          <w:szCs w:val="18"/>
                        </w:rPr>
                      </w:pPr>
                    </w:p>
                    <w:p w14:paraId="00499C2A" w14:textId="77777777" w:rsidR="0017074A" w:rsidRPr="00827DC2" w:rsidRDefault="0017074A" w:rsidP="00FB71DC">
                      <w:pPr>
                        <w:jc w:val="center"/>
                        <w:rPr>
                          <w:b/>
                          <w:smallCaps/>
                          <w:color w:val="000080"/>
                          <w:szCs w:val="18"/>
                        </w:rPr>
                      </w:pPr>
                      <w:r w:rsidRPr="00827DC2">
                        <w:rPr>
                          <w:b/>
                          <w:smallCaps/>
                          <w:color w:val="000080"/>
                          <w:szCs w:val="18"/>
                        </w:rPr>
                        <w:t>Instituţia Prefectului - Judeţul Hunedoara</w:t>
                      </w:r>
                    </w:p>
                    <w:p w14:paraId="22F8B620" w14:textId="77777777" w:rsidR="0017074A" w:rsidRPr="00A16260" w:rsidRDefault="0017074A"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17074A" w:rsidRPr="00A16260" w:rsidRDefault="001707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17074A" w:rsidRDefault="001707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17074A" w:rsidRPr="00A16260" w:rsidRDefault="0017074A" w:rsidP="00FB71DC">
                      <w:pPr>
                        <w:spacing w:before="40"/>
                        <w:jc w:val="center"/>
                        <w:rPr>
                          <w:rFonts w:ascii="Book Antiqua" w:hAnsi="Book Antiqua" w:cs="Tahoma"/>
                          <w:b/>
                          <w:szCs w:val="18"/>
                        </w:rPr>
                      </w:pPr>
                    </w:p>
                    <w:p w14:paraId="33D8A147" w14:textId="77777777" w:rsidR="0017074A" w:rsidRPr="00C85301" w:rsidRDefault="0017074A" w:rsidP="00FB71DC">
                      <w:pPr>
                        <w:spacing w:before="40"/>
                        <w:jc w:val="center"/>
                        <w:rPr>
                          <w:rStyle w:val="Hyperlink"/>
                          <w:rFonts w:ascii="Book Antiqua" w:hAnsi="Book Antiqua"/>
                        </w:rPr>
                      </w:pPr>
                      <w:hyperlink r:id="rId19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17074A" w:rsidRPr="00A16260" w:rsidRDefault="0017074A"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94"/>
      <w:headerReference w:type="default" r:id="rId195"/>
      <w:footerReference w:type="default" r:id="rId196"/>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DDD0D" w14:textId="77777777" w:rsidR="00B458D2" w:rsidRDefault="00B458D2">
      <w:r>
        <w:separator/>
      </w:r>
    </w:p>
    <w:p w14:paraId="5D160662" w14:textId="77777777" w:rsidR="00B458D2" w:rsidRDefault="00B458D2"/>
  </w:endnote>
  <w:endnote w:type="continuationSeparator" w:id="0">
    <w:p w14:paraId="5EEF1772" w14:textId="77777777" w:rsidR="00B458D2" w:rsidRDefault="00B458D2">
      <w:r>
        <w:continuationSeparator/>
      </w:r>
    </w:p>
    <w:p w14:paraId="15634D8E" w14:textId="77777777" w:rsidR="00B458D2" w:rsidRDefault="00B45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17074A" w:rsidRPr="006E031F" w14:paraId="29C45603" w14:textId="77777777" w:rsidTr="0041562B">
      <w:trPr>
        <w:gridAfter w:val="1"/>
        <w:wAfter w:w="6" w:type="pct"/>
        <w:trHeight w:val="288"/>
      </w:trPr>
      <w:tc>
        <w:tcPr>
          <w:tcW w:w="600" w:type="pct"/>
          <w:vMerge w:val="restart"/>
          <w:vAlign w:val="center"/>
        </w:tcPr>
        <w:p w14:paraId="65FB61FF" w14:textId="77777777" w:rsidR="0017074A" w:rsidRPr="008B206B" w:rsidRDefault="0017074A" w:rsidP="0041562B">
          <w:pPr>
            <w:pStyle w:val="Footer"/>
            <w:spacing w:before="0"/>
            <w:rPr>
              <w:szCs w:val="18"/>
            </w:rPr>
          </w:pPr>
          <w:r w:rsidRPr="008B206B">
            <w:rPr>
              <w:szCs w:val="18"/>
            </w:rPr>
            <w:t xml:space="preserve">Anul </w:t>
          </w:r>
        </w:p>
        <w:p w14:paraId="77EB7363" w14:textId="117472E3" w:rsidR="0017074A" w:rsidRPr="00E97917" w:rsidRDefault="0017074A"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11D7758B" w:rsidR="0017074A" w:rsidRPr="008B206B" w:rsidRDefault="0017074A" w:rsidP="00CD4B20">
          <w:pPr>
            <w:pStyle w:val="Footer"/>
            <w:spacing w:before="0"/>
            <w:rPr>
              <w:szCs w:val="18"/>
            </w:rPr>
          </w:pPr>
          <w:r>
            <w:rPr>
              <w:szCs w:val="18"/>
            </w:rPr>
            <w:t>Numărul 47</w:t>
          </w:r>
        </w:p>
      </w:tc>
      <w:tc>
        <w:tcPr>
          <w:tcW w:w="2650" w:type="pct"/>
          <w:vAlign w:val="center"/>
        </w:tcPr>
        <w:p w14:paraId="5CFAC056" w14:textId="1029762A" w:rsidR="0017074A" w:rsidRPr="00CD7AF9" w:rsidRDefault="0017074A" w:rsidP="00CD4B20">
          <w:pPr>
            <w:spacing w:before="0"/>
            <w:jc w:val="center"/>
            <w:rPr>
              <w:rFonts w:ascii="Book Antiqua" w:hAnsi="Book Antiqua"/>
              <w:b/>
              <w:color w:val="000080"/>
              <w:spacing w:val="10"/>
              <w:szCs w:val="18"/>
            </w:rPr>
          </w:pPr>
          <w:r>
            <w:rPr>
              <w:rFonts w:ascii="Book Antiqua" w:hAnsi="Book Antiqua"/>
              <w:b/>
              <w:color w:val="000080"/>
              <w:spacing w:val="10"/>
              <w:szCs w:val="18"/>
            </w:rPr>
            <w:t>22 – 26 noiembrie</w:t>
          </w:r>
        </w:p>
      </w:tc>
      <w:tc>
        <w:tcPr>
          <w:tcW w:w="921" w:type="pct"/>
          <w:vAlign w:val="center"/>
        </w:tcPr>
        <w:p w14:paraId="1AB19596" w14:textId="77777777" w:rsidR="0017074A" w:rsidRPr="008B206B" w:rsidRDefault="0017074A"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17B4E">
            <w:rPr>
              <w:noProof/>
              <w:szCs w:val="18"/>
            </w:rPr>
            <w:t>22</w:t>
          </w:r>
          <w:r w:rsidRPr="008B206B">
            <w:rPr>
              <w:szCs w:val="18"/>
            </w:rPr>
            <w:fldChar w:fldCharType="end"/>
          </w:r>
        </w:p>
      </w:tc>
    </w:tr>
    <w:tr w:rsidR="0017074A" w:rsidRPr="006E031F" w14:paraId="5A7A2BD8" w14:textId="77777777" w:rsidTr="00E119C2">
      <w:trPr>
        <w:trHeight w:val="257"/>
      </w:trPr>
      <w:tc>
        <w:tcPr>
          <w:tcW w:w="600" w:type="pct"/>
          <w:vMerge/>
        </w:tcPr>
        <w:p w14:paraId="6C24859B" w14:textId="77777777" w:rsidR="0017074A" w:rsidRPr="006E031F" w:rsidRDefault="0017074A" w:rsidP="0041562B">
          <w:pPr>
            <w:spacing w:before="0"/>
            <w:jc w:val="center"/>
            <w:rPr>
              <w:rFonts w:ascii="Book Antiqua" w:hAnsi="Book Antiqua"/>
              <w:b/>
              <w:color w:val="808080"/>
              <w:szCs w:val="18"/>
            </w:rPr>
          </w:pPr>
        </w:p>
      </w:tc>
      <w:tc>
        <w:tcPr>
          <w:tcW w:w="824" w:type="pct"/>
          <w:vMerge/>
          <w:vAlign w:val="center"/>
        </w:tcPr>
        <w:p w14:paraId="50268750" w14:textId="77777777" w:rsidR="0017074A" w:rsidRPr="006E031F" w:rsidRDefault="0017074A" w:rsidP="0041562B">
          <w:pPr>
            <w:spacing w:before="0"/>
            <w:jc w:val="center"/>
            <w:rPr>
              <w:rFonts w:ascii="Book Antiqua" w:hAnsi="Book Antiqua"/>
              <w:b/>
              <w:color w:val="808080"/>
              <w:szCs w:val="18"/>
            </w:rPr>
          </w:pPr>
        </w:p>
      </w:tc>
      <w:tc>
        <w:tcPr>
          <w:tcW w:w="2650" w:type="pct"/>
        </w:tcPr>
        <w:p w14:paraId="7121F994" w14:textId="77777777" w:rsidR="0017074A" w:rsidRPr="006E031F" w:rsidRDefault="0017074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7074A" w:rsidRPr="006E031F" w:rsidRDefault="0017074A" w:rsidP="0041562B">
          <w:pPr>
            <w:spacing w:before="0"/>
            <w:rPr>
              <w:rFonts w:ascii="Book Antiqua" w:hAnsi="Book Antiqua"/>
              <w:b/>
              <w:color w:val="808080"/>
              <w:szCs w:val="18"/>
            </w:rPr>
          </w:pPr>
        </w:p>
      </w:tc>
    </w:tr>
  </w:tbl>
  <w:p w14:paraId="1BF0DCEE" w14:textId="5F76118D" w:rsidR="0017074A" w:rsidRPr="00B445F1" w:rsidRDefault="0017074A" w:rsidP="00EF3149">
    <w:pPr>
      <w:tabs>
        <w:tab w:val="left" w:pos="1956"/>
        <w:tab w:val="center" w:pos="4762"/>
      </w:tabs>
    </w:pPr>
    <w:r>
      <w:tab/>
    </w:r>
    <w:r>
      <w:tab/>
    </w:r>
  </w:p>
  <w:p w14:paraId="30EB9954" w14:textId="77777777" w:rsidR="0017074A" w:rsidRDefault="001707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B44F9" w14:textId="77777777" w:rsidR="00B458D2" w:rsidRDefault="00B458D2">
      <w:r>
        <w:separator/>
      </w:r>
    </w:p>
    <w:p w14:paraId="07F1DCF3" w14:textId="77777777" w:rsidR="00B458D2" w:rsidRDefault="00B458D2"/>
  </w:footnote>
  <w:footnote w:type="continuationSeparator" w:id="0">
    <w:p w14:paraId="399AC084" w14:textId="77777777" w:rsidR="00B458D2" w:rsidRDefault="00B458D2">
      <w:r>
        <w:continuationSeparator/>
      </w:r>
    </w:p>
    <w:p w14:paraId="00D84F70" w14:textId="77777777" w:rsidR="00B458D2" w:rsidRDefault="00B458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17074A" w:rsidRDefault="0017074A" w:rsidP="00633305">
    <w:pPr>
      <w:pStyle w:val="Header"/>
    </w:pPr>
  </w:p>
  <w:p w14:paraId="3D4EE5EE" w14:textId="77777777" w:rsidR="0017074A" w:rsidRDefault="0017074A"/>
  <w:p w14:paraId="16D7B7A0" w14:textId="77777777" w:rsidR="0017074A" w:rsidRDefault="0017074A"/>
  <w:p w14:paraId="32F98579" w14:textId="77777777" w:rsidR="0017074A" w:rsidRDefault="001707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17074A" w:rsidRDefault="0017074A"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121EB"/>
    <w:multiLevelType w:val="multilevel"/>
    <w:tmpl w:val="FDB6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40586"/>
    <w:multiLevelType w:val="multilevel"/>
    <w:tmpl w:val="4DBA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C0A7C"/>
    <w:multiLevelType w:val="multilevel"/>
    <w:tmpl w:val="CD86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A500A"/>
    <w:multiLevelType w:val="multilevel"/>
    <w:tmpl w:val="CBF6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32336"/>
    <w:multiLevelType w:val="multilevel"/>
    <w:tmpl w:val="25E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D3F82"/>
    <w:multiLevelType w:val="multilevel"/>
    <w:tmpl w:val="454C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D045C"/>
    <w:multiLevelType w:val="multilevel"/>
    <w:tmpl w:val="E608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F14BD"/>
    <w:multiLevelType w:val="multilevel"/>
    <w:tmpl w:val="8CDA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E05C9"/>
    <w:multiLevelType w:val="multilevel"/>
    <w:tmpl w:val="3708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87BDB"/>
    <w:multiLevelType w:val="multilevel"/>
    <w:tmpl w:val="A23E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46F4C"/>
    <w:multiLevelType w:val="multilevel"/>
    <w:tmpl w:val="151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253D0"/>
    <w:multiLevelType w:val="multilevel"/>
    <w:tmpl w:val="4EC4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B10CF"/>
    <w:multiLevelType w:val="multilevel"/>
    <w:tmpl w:val="355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E81365"/>
    <w:multiLevelType w:val="multilevel"/>
    <w:tmpl w:val="5870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F3A57"/>
    <w:multiLevelType w:val="multilevel"/>
    <w:tmpl w:val="9872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2034C"/>
    <w:multiLevelType w:val="multilevel"/>
    <w:tmpl w:val="4D2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D0800"/>
    <w:multiLevelType w:val="multilevel"/>
    <w:tmpl w:val="2E66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D4A70"/>
    <w:multiLevelType w:val="multilevel"/>
    <w:tmpl w:val="E9CA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86D6F"/>
    <w:multiLevelType w:val="multilevel"/>
    <w:tmpl w:val="2DB0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60C54"/>
    <w:multiLevelType w:val="multilevel"/>
    <w:tmpl w:val="3410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7448DD"/>
    <w:multiLevelType w:val="multilevel"/>
    <w:tmpl w:val="118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7F4D07"/>
    <w:multiLevelType w:val="multilevel"/>
    <w:tmpl w:val="7C8A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342D74"/>
    <w:multiLevelType w:val="multilevel"/>
    <w:tmpl w:val="0D5E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AC144DD"/>
    <w:multiLevelType w:val="multilevel"/>
    <w:tmpl w:val="48E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B245E4"/>
    <w:multiLevelType w:val="multilevel"/>
    <w:tmpl w:val="0D48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5C3A02"/>
    <w:multiLevelType w:val="multilevel"/>
    <w:tmpl w:val="2792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CB4680C"/>
    <w:multiLevelType w:val="multilevel"/>
    <w:tmpl w:val="9F8C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CE75A0"/>
    <w:multiLevelType w:val="multilevel"/>
    <w:tmpl w:val="9C9E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28"/>
  </w:num>
  <w:num w:numId="4">
    <w:abstractNumId w:val="8"/>
  </w:num>
  <w:num w:numId="5">
    <w:abstractNumId w:val="25"/>
  </w:num>
  <w:num w:numId="6">
    <w:abstractNumId w:val="15"/>
  </w:num>
  <w:num w:numId="7">
    <w:abstractNumId w:val="0"/>
  </w:num>
  <w:num w:numId="8">
    <w:abstractNumId w:val="26"/>
  </w:num>
  <w:num w:numId="9">
    <w:abstractNumId w:val="19"/>
  </w:num>
  <w:num w:numId="10">
    <w:abstractNumId w:val="9"/>
  </w:num>
  <w:num w:numId="11">
    <w:abstractNumId w:val="1"/>
  </w:num>
  <w:num w:numId="12">
    <w:abstractNumId w:val="6"/>
  </w:num>
  <w:num w:numId="13">
    <w:abstractNumId w:val="27"/>
  </w:num>
  <w:num w:numId="14">
    <w:abstractNumId w:val="22"/>
  </w:num>
  <w:num w:numId="15">
    <w:abstractNumId w:val="29"/>
  </w:num>
  <w:num w:numId="16">
    <w:abstractNumId w:val="21"/>
  </w:num>
  <w:num w:numId="17">
    <w:abstractNumId w:val="20"/>
  </w:num>
  <w:num w:numId="18">
    <w:abstractNumId w:val="17"/>
  </w:num>
  <w:num w:numId="19">
    <w:abstractNumId w:val="4"/>
  </w:num>
  <w:num w:numId="20">
    <w:abstractNumId w:val="13"/>
  </w:num>
  <w:num w:numId="21">
    <w:abstractNumId w:val="3"/>
  </w:num>
  <w:num w:numId="22">
    <w:abstractNumId w:val="10"/>
  </w:num>
  <w:num w:numId="23">
    <w:abstractNumId w:val="5"/>
  </w:num>
  <w:num w:numId="24">
    <w:abstractNumId w:val="14"/>
  </w:num>
  <w:num w:numId="25">
    <w:abstractNumId w:val="23"/>
  </w:num>
  <w:num w:numId="26">
    <w:abstractNumId w:val="18"/>
  </w:num>
  <w:num w:numId="27">
    <w:abstractNumId w:val="16"/>
  </w:num>
  <w:num w:numId="28">
    <w:abstractNumId w:val="2"/>
  </w:num>
  <w:num w:numId="29">
    <w:abstractNumId w:val="11"/>
  </w:num>
  <w:num w:numId="30">
    <w:abstractNumId w:val="12"/>
  </w:num>
  <w:num w:numId="31">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42EF"/>
    <w:rsid w:val="001C4B46"/>
    <w:rsid w:val="001C4E26"/>
    <w:rsid w:val="001C502F"/>
    <w:rsid w:val="001C5316"/>
    <w:rsid w:val="001C551A"/>
    <w:rsid w:val="001C55BD"/>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2A2"/>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3B62"/>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546"/>
    <w:rsid w:val="003A6652"/>
    <w:rsid w:val="003A6CD3"/>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44"/>
    <w:rsid w:val="004B2AFC"/>
    <w:rsid w:val="004B44DD"/>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65DE"/>
    <w:rsid w:val="0066709C"/>
    <w:rsid w:val="00670A3E"/>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55C"/>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DA"/>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E1F"/>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BD4A03"/>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933498"/>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UnresolvedMention">
    <w:name w:val="Unresolved Mention"/>
    <w:basedOn w:val="DefaultParagraphFon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publications/2022-euro-area-recommendation_en" TargetMode="External"/><Relationship Id="rId21" Type="http://schemas.openxmlformats.org/officeDocument/2006/relationships/hyperlink" Target="https://www.fonduri-structurale.ro/descarca-document/33789" TargetMode="External"/><Relationship Id="rId42" Type="http://schemas.openxmlformats.org/officeDocument/2006/relationships/hyperlink" Target="javascript:void(0)" TargetMode="External"/><Relationship Id="rId47" Type="http://schemas.openxmlformats.org/officeDocument/2006/relationships/hyperlink" Target="https://www.europarl.europa.eu/doceo/document/TA-9-2021-0454_RO.html" TargetMode="External"/><Relationship Id="rId63" Type="http://schemas.openxmlformats.org/officeDocument/2006/relationships/hyperlink" Target="javascript:void(0)" TargetMode="External"/><Relationship Id="rId68" Type="http://schemas.openxmlformats.org/officeDocument/2006/relationships/hyperlink" Target="https://ec.europa.eu/info/files/proposal-blacklist-transport-operators-who-engage-smuggling_en" TargetMode="External"/><Relationship Id="rId84" Type="http://schemas.openxmlformats.org/officeDocument/2006/relationships/hyperlink" Target="javascript:void(0)" TargetMode="External"/><Relationship Id="rId89" Type="http://schemas.openxmlformats.org/officeDocument/2006/relationships/hyperlink" Target="https://ec.europa.eu/info/publications/2022-euro-area-recommendation_en" TargetMode="External"/><Relationship Id="rId112" Type="http://schemas.openxmlformats.org/officeDocument/2006/relationships/hyperlink" Target="javascript:void(0)" TargetMode="External"/><Relationship Id="rId133" Type="http://schemas.openxmlformats.org/officeDocument/2006/relationships/hyperlink" Target="https://ec.europa.eu/info/files/2022-european-semester-proposal-joint-employment-report_en" TargetMode="External"/><Relationship Id="rId138" Type="http://schemas.openxmlformats.org/officeDocument/2006/relationships/hyperlink" Target="javascript:void(0)" TargetMode="External"/><Relationship Id="rId154" Type="http://schemas.openxmlformats.org/officeDocument/2006/relationships/hyperlink" Target="javascript:void(0)" TargetMode="External"/><Relationship Id="rId159" Type="http://schemas.openxmlformats.org/officeDocument/2006/relationships/hyperlink" Target="https://eur-lex.europa.eu/legal-content/RO/TXT/?uri=celex:32021H0961" TargetMode="External"/><Relationship Id="rId175" Type="http://schemas.openxmlformats.org/officeDocument/2006/relationships/hyperlink" Target="javascript:void(0)" TargetMode="External"/><Relationship Id="rId170" Type="http://schemas.openxmlformats.org/officeDocument/2006/relationships/hyperlink" Target="https://reopen.europa.eu/ro/" TargetMode="External"/><Relationship Id="rId191" Type="http://schemas.openxmlformats.org/officeDocument/2006/relationships/image" Target="media/image15.emf"/><Relationship Id="rId196" Type="http://schemas.openxmlformats.org/officeDocument/2006/relationships/footer" Target="footer1.xml"/><Relationship Id="rId16" Type="http://schemas.openxmlformats.org/officeDocument/2006/relationships/hyperlink" Target="https://slovenian-presidency.consilium.europa.eu/en/" TargetMode="External"/><Relationship Id="rId107" Type="http://schemas.openxmlformats.org/officeDocument/2006/relationships/hyperlink" Target="https://ec.europa.eu/info/strategy/priorities-2019-2024/economy-works-people/jobs-growth-and-investment/european-pillar-social-rights/european-pillar-social-rights-action-plan_ro" TargetMode="External"/><Relationship Id="rId11" Type="http://schemas.openxmlformats.org/officeDocument/2006/relationships/image" Target="media/image4.png"/><Relationship Id="rId32" Type="http://schemas.openxmlformats.org/officeDocument/2006/relationships/hyperlink" Target="https://www.fonduri-structurale.ro/fisa-proiect/7/programul-national-de-dezvoltare-rurala/83/pndr-sm-16-4-a" TargetMode="External"/><Relationship Id="rId37" Type="http://schemas.openxmlformats.org/officeDocument/2006/relationships/hyperlink" Target="javascript:void(0)" TargetMode="External"/><Relationship Id="rId53" Type="http://schemas.openxmlformats.org/officeDocument/2006/relationships/hyperlink" Target="https://ec.europa.eu/commission/presscorner/detail/en/qanda_21_6212" TargetMode="External"/><Relationship Id="rId58" Type="http://schemas.openxmlformats.org/officeDocument/2006/relationships/hyperlink" Target="javascript:void(0)" TargetMode="External"/><Relationship Id="rId74" Type="http://schemas.openxmlformats.org/officeDocument/2006/relationships/hyperlink" Target="https://transport.ec.europa.eu/system/files/2021-11/2021_factsheet_EU_action_againt_human_trafficking_transport_operators.pdf" TargetMode="External"/><Relationship Id="rId79" Type="http://schemas.openxmlformats.org/officeDocument/2006/relationships/hyperlink" Target="https://ec.europa.eu/info/business-economy-euro/economic-performance-and-forecasts/economic-forecasts/autumn-2021-economic-forecast_en" TargetMode="External"/><Relationship Id="rId102" Type="http://schemas.openxmlformats.org/officeDocument/2006/relationships/hyperlink" Target="javascript:void(0)" TargetMode="External"/><Relationship Id="rId123" Type="http://schemas.openxmlformats.org/officeDocument/2006/relationships/hyperlink" Target="https://ec.europa.eu/info/publications/post-programme-surveillance-report-cyprus-autumn-2021_en"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https://eur-lex.europa.eu/legal-content/RO/TXT/?qid=1604080584943&amp;uri=CELEX:52020DC0499"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https://ec.europa.eu/info/publications/post-programme-surveillance-report-spain-autumn-2021_en" TargetMode="External"/><Relationship Id="rId160" Type="http://schemas.openxmlformats.org/officeDocument/2006/relationships/hyperlink" Target="javascript:void(0)" TargetMode="External"/><Relationship Id="rId165" Type="http://schemas.openxmlformats.org/officeDocument/2006/relationships/hyperlink" Target="https://ec.europa.eu/commission/presscorner/detail/ro/IP_21_2782" TargetMode="External"/><Relationship Id="rId181" Type="http://schemas.openxmlformats.org/officeDocument/2006/relationships/hyperlink" Target="javascript:void(0)" TargetMode="External"/><Relationship Id="rId186" Type="http://schemas.openxmlformats.org/officeDocument/2006/relationships/hyperlink" Target="javascript:void(0)" TargetMode="External"/><Relationship Id="rId22" Type="http://schemas.openxmlformats.org/officeDocument/2006/relationships/hyperlink" Target="mailto:acte.normative@mfe.gov.ro" TargetMode="External"/><Relationship Id="rId27" Type="http://schemas.openxmlformats.org/officeDocument/2006/relationships/hyperlink" Target="https://www.fonduri-structurale.ro/descarca-document/33779" TargetMode="External"/><Relationship Id="rId43" Type="http://schemas.openxmlformats.org/officeDocument/2006/relationships/hyperlink" Target="https://ec.europa.eu/info/strategy/priorities-2019-2024/europe-fit-digital-age/digital-services-act-ensuring-safe-and-accountable-online-environment_ro" TargetMode="External"/><Relationship Id="rId48" Type="http://schemas.openxmlformats.org/officeDocument/2006/relationships/hyperlink" Target="javascript:void(0)" TargetMode="External"/><Relationship Id="rId64" Type="http://schemas.openxmlformats.org/officeDocument/2006/relationships/hyperlink" Target="https://eur-lex.europa.eu/legal-content/RO/TXT/?uri=CELEX%3A12008E078" TargetMode="External"/><Relationship Id="rId69" Type="http://schemas.openxmlformats.org/officeDocument/2006/relationships/hyperlink" Target="javascript:void(0)" TargetMode="External"/><Relationship Id="rId113" Type="http://schemas.openxmlformats.org/officeDocument/2006/relationships/hyperlink" Target="https://ec.europa.eu/info/files/2022-draft-budgetary-plans-overall-assessment_en"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hyperlink" Target="https://ec.europa.eu/info/business-economy-euro/economic-and-fiscal-policy-coordination/eu-economic-governance-monitoring-prevention-correction/european-semester_ro" TargetMode="External"/><Relationship Id="rId80" Type="http://schemas.openxmlformats.org/officeDocument/2006/relationships/hyperlink" Target="javascript:void(0)" TargetMode="External"/><Relationship Id="rId85" Type="http://schemas.openxmlformats.org/officeDocument/2006/relationships/hyperlink" Target="https://ec.europa.eu/info/business-economy-euro/recovery-coronavirus/recovery-and-resilience-facility_en" TargetMode="External"/><Relationship Id="rId150" Type="http://schemas.openxmlformats.org/officeDocument/2006/relationships/hyperlink" Target="javascript:void(0)" TargetMode="External"/><Relationship Id="rId155" Type="http://schemas.openxmlformats.org/officeDocument/2006/relationships/hyperlink" Target="https://eur-lex.europa.eu/legal-content/RO/TXT/?uri=CELEX:32020H0912" TargetMode="External"/><Relationship Id="rId171" Type="http://schemas.openxmlformats.org/officeDocument/2006/relationships/hyperlink" Target="javascript:void(0)" TargetMode="External"/><Relationship Id="rId176" Type="http://schemas.openxmlformats.org/officeDocument/2006/relationships/hyperlink" Target="https://ec.europa.eu/commission/presscorner/detail/en/fs_21_6215" TargetMode="External"/><Relationship Id="rId192" Type="http://schemas.openxmlformats.org/officeDocument/2006/relationships/hyperlink" Target="mailto:prefhd@comser.ro" TargetMode="External"/><Relationship Id="rId197" Type="http://schemas.openxmlformats.org/officeDocument/2006/relationships/fontTable" Target="fontTable.xm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3790" TargetMode="External"/><Relationship Id="rId33" Type="http://schemas.openxmlformats.org/officeDocument/2006/relationships/image" Target="media/image7.jpeg"/><Relationship Id="rId38" Type="http://schemas.openxmlformats.org/officeDocument/2006/relationships/hyperlink" Target="https://eur-lex.europa.eu/legal-content/RO/TXT/?qid=1607079662423&amp;uri=COM%3A2020%3A790%3AFIN" TargetMode="External"/><Relationship Id="rId59" Type="http://schemas.openxmlformats.org/officeDocument/2006/relationships/hyperlink" Target="https://ec.europa.eu/commission/presscorner/detail/ro/IP_20_2250" TargetMode="External"/><Relationship Id="rId103" Type="http://schemas.openxmlformats.org/officeDocument/2006/relationships/hyperlink" Target="https://ec.europa.eu/info/files/2022-european-semester-proposal-joint-employment-report_en"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https://ec.europa.eu/info/publications/post-programme-surveillance-report-spain-autumn-2021_en" TargetMode="External"/><Relationship Id="rId54" Type="http://schemas.openxmlformats.org/officeDocument/2006/relationships/hyperlink" Target="javascript:void(0)" TargetMode="External"/><Relationship Id="rId70" Type="http://schemas.openxmlformats.org/officeDocument/2006/relationships/hyperlink" Target="https://ec.europa.eu/commission/presscorner/detail/en/QANDA_21_6221" TargetMode="External"/><Relationship Id="rId75" Type="http://schemas.openxmlformats.org/officeDocument/2006/relationships/hyperlink" Target="https://ec.europa.eu/commission/presscorner/detail/en/fs_21_6222" TargetMode="External"/><Relationship Id="rId91" Type="http://schemas.openxmlformats.org/officeDocument/2006/relationships/hyperlink" Target="https://ec.europa.eu/info/files/2022-european-semester-alert-mechanism-report_en" TargetMode="Externa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45" Type="http://schemas.openxmlformats.org/officeDocument/2006/relationships/hyperlink" Target="https://ec.europa.eu/commission/presscorner/detail/en/ip_21_6185" TargetMode="External"/><Relationship Id="rId161" Type="http://schemas.openxmlformats.org/officeDocument/2006/relationships/hyperlink" Target="https://ec.europa.eu/commission/presscorner/detail/ro/ip_21_5267" TargetMode="External"/><Relationship Id="rId166" Type="http://schemas.openxmlformats.org/officeDocument/2006/relationships/hyperlink" Target="javascript:void(0)" TargetMode="External"/><Relationship Id="rId182" Type="http://schemas.openxmlformats.org/officeDocument/2006/relationships/hyperlink" Target="https://reopen.europa.eu/ro/" TargetMode="External"/><Relationship Id="rId187" Type="http://schemas.openxmlformats.org/officeDocument/2006/relationships/hyperlink" Target="https://ec.europa.eu/competition/state_aid/what_is_new/covid_19.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events/955951405129733?ref=newsfeed" TargetMode="External"/><Relationship Id="rId28" Type="http://schemas.openxmlformats.org/officeDocument/2006/relationships/hyperlink" Target="http://www.fonduri-structurale.ro/" TargetMode="External"/><Relationship Id="rId49" Type="http://schemas.openxmlformats.org/officeDocument/2006/relationships/hyperlink" Target="https://eur-lex.europa.eu/legal-content/RO/TXT/?uri=celex%3A31993L0109" TargetMode="External"/><Relationship Id="rId114" Type="http://schemas.openxmlformats.org/officeDocument/2006/relationships/hyperlink" Target="javascript:void(0)" TargetMode="External"/><Relationship Id="rId119" Type="http://schemas.openxmlformats.org/officeDocument/2006/relationships/hyperlink" Target="https://ec.europa.eu/info/files/2022-european-semester-alert-mechanism-report_en"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https://ec.europa.eu/info/business-economy-euro/economic-and-fiscal-policy-coordination/eu-economic-governance-monitoring-prevention-correction/stability-and-growth-pact/corrective-arm-excessive-deficit-procedure/ongoing-excessive-deficit-procedures/romania_en" TargetMode="External"/><Relationship Id="rId86"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https://ec.europa.eu/commission/presscorner/detail/ro/ip_20_2105" TargetMode="External"/><Relationship Id="rId151" Type="http://schemas.openxmlformats.org/officeDocument/2006/relationships/hyperlink" Target="https://data.consilium.europa.eu/doc/document/ST-11689-2020-REV-1/ro/pdf" TargetMode="External"/><Relationship Id="rId156" Type="http://schemas.openxmlformats.org/officeDocument/2006/relationships/hyperlink" Target="javascript:void(0)" TargetMode="External"/><Relationship Id="rId177" Type="http://schemas.openxmlformats.org/officeDocument/2006/relationships/hyperlink" Target="javascript:void(0)" TargetMode="External"/><Relationship Id="rId198" Type="http://schemas.openxmlformats.org/officeDocument/2006/relationships/theme" Target="theme/theme1.xml"/><Relationship Id="rId172" Type="http://schemas.openxmlformats.org/officeDocument/2006/relationships/hyperlink" Target="https://ec.europa.eu/commission/presscorner/detail/en/QANDA_21_6281" TargetMode="External"/><Relationship Id="rId193" Type="http://schemas.openxmlformats.org/officeDocument/2006/relationships/hyperlink" Target="mailto:prefhd@comser.ro"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3784" TargetMode="External"/><Relationship Id="rId39" Type="http://schemas.openxmlformats.org/officeDocument/2006/relationships/hyperlink" Target="javascript:void(0)" TargetMode="External"/><Relationship Id="rId109" Type="http://schemas.openxmlformats.org/officeDocument/2006/relationships/hyperlink" Target="https://ec.europa.eu/commission/presscorner/detail/en/qanda_21_6107" TargetMode="External"/><Relationship Id="rId34" Type="http://schemas.openxmlformats.org/officeDocument/2006/relationships/image" Target="media/image8.png"/><Relationship Id="rId50" Type="http://schemas.openxmlformats.org/officeDocument/2006/relationships/hyperlink" Target="javascript:void(0)" TargetMode="External"/><Relationship Id="rId55" Type="http://schemas.openxmlformats.org/officeDocument/2006/relationships/hyperlink" Target="https://ec.europa.eu/commission/presscorner/detail/en/fs_21_6214" TargetMode="External"/><Relationship Id="rId76" Type="http://schemas.openxmlformats.org/officeDocument/2006/relationships/hyperlink" Target="javascript:void(0)" TargetMode="External"/><Relationship Id="rId97" Type="http://schemas.openxmlformats.org/officeDocument/2006/relationships/hyperlink" Target="https://ec.europa.eu/info/publications/post-programme-surveillance-report-portugal-autumn-2021_en"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https://ec.europa.eu/info/publications/post-programme-surveillance-report-ireland-autumn-2021_en" TargetMode="External"/><Relationship Id="rId141" Type="http://schemas.openxmlformats.org/officeDocument/2006/relationships/image" Target="media/image12.jpeg"/><Relationship Id="rId146" Type="http://schemas.openxmlformats.org/officeDocument/2006/relationships/hyperlink" Target="javascript:void(0)" TargetMode="External"/><Relationship Id="rId167" Type="http://schemas.openxmlformats.org/officeDocument/2006/relationships/hyperlink" Target="https://www.consilium.europa.eu/media/52622/20211022-euco-conclusions-en.pdf" TargetMode="External"/><Relationship Id="rId188" Type="http://schemas.openxmlformats.org/officeDocument/2006/relationships/hyperlink" Target="https://ec.europa.eu/competition/state_aid/register/"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hyperlink" Target="javascript:void(0)" TargetMode="External"/><Relationship Id="rId183"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fonduri-structurale.ro/alte-finantari/551/actiunile-marie-sklodowska-curie-cofinantarea-de-programe-regionale-nationale-si-internationale-cofund" TargetMode="External"/><Relationship Id="rId24" Type="http://schemas.openxmlformats.org/officeDocument/2006/relationships/hyperlink" Target="https://www.fonduri-structurale.ro/descarca-document/33787" TargetMode="External"/><Relationship Id="rId40" Type="http://schemas.openxmlformats.org/officeDocument/2006/relationships/hyperlink" Target="https://europa.eu/!KW37xD" TargetMode="External"/><Relationship Id="rId45" Type="http://schemas.openxmlformats.org/officeDocument/2006/relationships/hyperlink" Target="https://digital-strategy.ec.europa.eu/en/policies/code-practice-disinformation" TargetMode="External"/><Relationship Id="rId66" Type="http://schemas.openxmlformats.org/officeDocument/2006/relationships/hyperlink" Target="https://ec.europa.eu/info/files/communication-responding-state-sponsored-instrumentalisation-migrants-eu-external-border_en" TargetMode="External"/><Relationship Id="rId87" Type="http://schemas.openxmlformats.org/officeDocument/2006/relationships/hyperlink" Target="https://ec.europa.eu/info/business-economy-euro/economic-and-fiscal-policy-coordination/eu-economic-governance-monitoring-prevention-correction/stability-and-growth-pact/annual-draft-budgetary-plans-dbps-euro-area-countries/draft-budgetary-plans-2022_en" TargetMode="External"/><Relationship Id="rId110" Type="http://schemas.openxmlformats.org/officeDocument/2006/relationships/hyperlink" Target="javascript:void(0)" TargetMode="External"/><Relationship Id="rId115" Type="http://schemas.openxmlformats.org/officeDocument/2006/relationships/hyperlink" Target="https://ec.europa.eu/info/business-economy-euro/economic-and-fiscal-policy-coordination/eu-economic-governance-monitoring-prevention-correction/stability-and-growth-pact/annual-draft-budgetary-plans-dbps-euro-area-countries/draft-budgetary-plans-2022_en" TargetMode="External"/><Relationship Id="rId131" Type="http://schemas.openxmlformats.org/officeDocument/2006/relationships/hyperlink" Target="https://ec.europa.eu/info/publications/twelfth-enhanced-surveillance-report_en" TargetMode="External"/><Relationship Id="rId136" Type="http://schemas.openxmlformats.org/officeDocument/2006/relationships/hyperlink" Target="javascript:void(0)" TargetMode="External"/><Relationship Id="rId157" Type="http://schemas.openxmlformats.org/officeDocument/2006/relationships/hyperlink" Target="https://ec.europa.eu/info/live-work-travel-eu/coronavirus-response/safe-covid-19-vaccines-europeans/eu-digital-covid-certificate_ro" TargetMode="External"/><Relationship Id="rId178" Type="http://schemas.openxmlformats.org/officeDocument/2006/relationships/hyperlink" Target="https://ec.europa.eu/info/files/council-recommendation-coordinated-approach-facilitate-safe-free-movement-during-covid-19-pandemic-and-repealing-recommendation-eu-2020-1475_en" TargetMode="External"/><Relationship Id="rId61" Type="http://schemas.openxmlformats.org/officeDocument/2006/relationships/image" Target="media/image10.png"/><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4" Type="http://schemas.openxmlformats.org/officeDocument/2006/relationships/header" Target="header1.xml"/><Relationship Id="rId19" Type="http://schemas.openxmlformats.org/officeDocument/2006/relationships/hyperlink" Target="https://www.fonduri-structurale.ro/descarca-document/33782" TargetMode="External"/><Relationship Id="rId14" Type="http://schemas.openxmlformats.org/officeDocument/2006/relationships/image" Target="media/image5.jpeg"/><Relationship Id="rId30" Type="http://schemas.openxmlformats.org/officeDocument/2006/relationships/hyperlink" Target="https://www.fonduri-structurale.ro/alte-finantari/547/programul-mega-proiecte-de-azi-pentru-maine-competitie-nationala-dedicata-diminuarii-consumului-de-plastic-si-risipei-alimentare" TargetMode="External"/><Relationship Id="rId35" Type="http://schemas.openxmlformats.org/officeDocument/2006/relationships/image" Target="media/image9.jpeg"/><Relationship Id="rId56" Type="http://schemas.openxmlformats.org/officeDocument/2006/relationships/hyperlink" Target="javascript:void(0)" TargetMode="External"/><Relationship Id="rId77" Type="http://schemas.openxmlformats.org/officeDocument/2006/relationships/hyperlink" Target="https://euvsdisinfo.eu/" TargetMode="External"/><Relationship Id="rId100" Type="http://schemas.openxmlformats.org/officeDocument/2006/relationships/hyperlink" Target="javascript:void(0)" TargetMode="External"/><Relationship Id="rId105" Type="http://schemas.openxmlformats.org/officeDocument/2006/relationships/hyperlink" Target="https://ec.europa.eu/info/strategy/priorities-2019-2024/economy-works-people/jobs-growth-and-investment/european-pillar-social-rights_ro" TargetMode="External"/><Relationship Id="rId126" Type="http://schemas.openxmlformats.org/officeDocument/2006/relationships/hyperlink" Target="javascript:void(0)" TargetMode="External"/><Relationship Id="rId147" Type="http://schemas.openxmlformats.org/officeDocument/2006/relationships/hyperlink" Target="https://www.ecdc.europa.eu/en/news-events/ecdc-statement-risk-very-high-covid-19-burden-unless-public-health-measures-are-applied" TargetMode="External"/><Relationship Id="rId168" Type="http://schemas.openxmlformats.org/officeDocument/2006/relationships/hyperlink" Target="https://ec.europa.eu/home-affairs/twin-home-recommendation-repealing-2020-1632_en" TargetMode="External"/><Relationship Id="rId8" Type="http://schemas.openxmlformats.org/officeDocument/2006/relationships/image" Target="media/image1.png"/><Relationship Id="rId51" Type="http://schemas.openxmlformats.org/officeDocument/2006/relationships/hyperlink" Target="https://eur-lex.europa.eu/legal-content/RO/TXT/?uri=celex%3A31994L0080" TargetMode="External"/><Relationship Id="rId72" Type="http://schemas.openxmlformats.org/officeDocument/2006/relationships/hyperlink" Target="https://ec.europa.eu/commission/presscorner/detail/en/fs_21_6213" TargetMode="External"/><Relationship Id="rId93" Type="http://schemas.openxmlformats.org/officeDocument/2006/relationships/hyperlink" Target="https://ec.europa.eu/info/publications/twelfth-enhanced-surveillance-report_en" TargetMode="External"/><Relationship Id="rId98" Type="http://schemas.openxmlformats.org/officeDocument/2006/relationships/hyperlink" Target="javascript:void(0)" TargetMode="External"/><Relationship Id="rId121" Type="http://schemas.openxmlformats.org/officeDocument/2006/relationships/hyperlink" Target="https://ec.europa.eu/info/business-economy-euro/economic-and-fiscal-policy-coordination/eu-economic-governance-monitoring-prevention-correction/stability-and-growth-pact/corrective-arm-excessive-deficit-procedure/ongoing-excessive-deficit-procedures/romania_en" TargetMode="External"/><Relationship Id="rId142" Type="http://schemas.openxmlformats.org/officeDocument/2006/relationships/image" Target="media/image13.png"/><Relationship Id="rId163" Type="http://schemas.openxmlformats.org/officeDocument/2006/relationships/hyperlink" Target="https://ec.europa.eu/info/live-work-travel-eu/coronavirus-response/safe-covid-19-vaccines-europeans/eu-digital-covid-certificate_ro" TargetMode="External"/><Relationship Id="rId184" Type="http://schemas.openxmlformats.org/officeDocument/2006/relationships/image" Target="media/image14.png"/><Relationship Id="rId189" Type="http://schemas.openxmlformats.org/officeDocument/2006/relationships/hyperlink" Target="https://ec.europa.eu/competition/index_en.html" TargetMode="External"/><Relationship Id="rId3" Type="http://schemas.openxmlformats.org/officeDocument/2006/relationships/styles" Target="styles.xml"/><Relationship Id="rId25" Type="http://schemas.openxmlformats.org/officeDocument/2006/relationships/hyperlink" Target="https://www.fonduri-structurale.ro/descarca-document/33788"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s://ec.europa.eu/info/business-economy-euro/recovery-coronavirus/recovery-and-resilience-facility_en" TargetMode="External"/><Relationship Id="rId158" Type="http://schemas.openxmlformats.org/officeDocument/2006/relationships/hyperlink" Target="javascript:void(0)" TargetMode="External"/><Relationship Id="rId20" Type="http://schemas.openxmlformats.org/officeDocument/2006/relationships/hyperlink" Target="https://www.fonduri-structurale.ro/descarca-document/33781" TargetMode="External"/><Relationship Id="rId41" Type="http://schemas.openxmlformats.org/officeDocument/2006/relationships/hyperlink" Target="https://ec.europa.eu/info/law/law-topic/data-protection/eu-data-protection-rules_ro" TargetMode="External"/><Relationship Id="rId62" Type="http://schemas.openxmlformats.org/officeDocument/2006/relationships/hyperlink" Target="https://ec.europa.eu/home-affairs/renewed-eu-action-plan-against-migrant-smuggling-2021-2025-com-2021-591_en" TargetMode="External"/><Relationship Id="rId83" Type="http://schemas.openxmlformats.org/officeDocument/2006/relationships/hyperlink" Target="https://ec.europa.eu/info/strategy/recovery-plan-europe_ro" TargetMode="External"/><Relationship Id="rId88" Type="http://schemas.openxmlformats.org/officeDocument/2006/relationships/hyperlink" Target="javascript:void(0)" TargetMode="External"/><Relationship Id="rId111" Type="http://schemas.openxmlformats.org/officeDocument/2006/relationships/hyperlink" Target="https://ec.europa.eu/info/files/2022-european-semester-annual-sustainable-growth-survey_en" TargetMode="External"/><Relationship Id="rId132" Type="http://schemas.openxmlformats.org/officeDocument/2006/relationships/hyperlink" Target="javascript:void(0)" TargetMode="External"/><Relationship Id="rId153" Type="http://schemas.openxmlformats.org/officeDocument/2006/relationships/hyperlink" Target="https://eur-lex.europa.eu/legal-content/RO/TXT/?uri=celex:32020H1475" TargetMode="External"/><Relationship Id="rId174" Type="http://schemas.openxmlformats.org/officeDocument/2006/relationships/hyperlink" Target="https://ec.europa.eu/commission/presscorner/detail/en/fs_21_6216" TargetMode="External"/><Relationship Id="rId179" Type="http://schemas.openxmlformats.org/officeDocument/2006/relationships/hyperlink" Target="javascript:void(0)" TargetMode="External"/><Relationship Id="rId195" Type="http://schemas.openxmlformats.org/officeDocument/2006/relationships/header" Target="header2.xml"/><Relationship Id="rId190" Type="http://schemas.openxmlformats.org/officeDocument/2006/relationships/hyperlink" Target="javascript:void(0)" TargetMode="External"/><Relationship Id="rId15" Type="http://schemas.openxmlformats.org/officeDocument/2006/relationships/image" Target="media/image6.png"/><Relationship Id="rId36" Type="http://schemas.openxmlformats.org/officeDocument/2006/relationships/hyperlink" Target="https://ec.europa.eu/info/sites/default/files/political-guidelines-next-commission_ro.pdf" TargetMode="External"/><Relationship Id="rId57" Type="http://schemas.openxmlformats.org/officeDocument/2006/relationships/hyperlink" Target="https://ec.europa.eu/info/policies/justice-and-fundamental-rights/eu-citizenship/electoral-rights_en" TargetMode="External"/><Relationship Id="rId106" Type="http://schemas.openxmlformats.org/officeDocument/2006/relationships/hyperlink" Target="javascript:void(0)" TargetMode="External"/><Relationship Id="rId127" Type="http://schemas.openxmlformats.org/officeDocument/2006/relationships/hyperlink" Target="https://ec.europa.eu/info/publications/post-programme-surveillance-report-portugal-autumn-2021_en" TargetMode="External"/><Relationship Id="rId10" Type="http://schemas.openxmlformats.org/officeDocument/2006/relationships/image" Target="media/image3.jpeg"/><Relationship Id="rId31" Type="http://schemas.openxmlformats.org/officeDocument/2006/relationships/hyperlink" Target="https://www.fonduri-structurale.ro/fisa-proiect/7/programul-national-de-dezvoltare-rurala/82/pndr-sm-16-4"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image" Target="media/image11.png"/><Relationship Id="rId94" Type="http://schemas.openxmlformats.org/officeDocument/2006/relationships/hyperlink" Target="javascript:void(0)" TargetMode="External"/><Relationship Id="rId99" Type="http://schemas.openxmlformats.org/officeDocument/2006/relationships/hyperlink" Target="https://ec.europa.eu/info/publications/post-programme-surveillance-report-cyprus-autumn-2021_en" TargetMode="External"/><Relationship Id="rId101" Type="http://schemas.openxmlformats.org/officeDocument/2006/relationships/hyperlink" Target="https://ec.europa.eu/info/publications/post-programme-surveillance-reports-ireland-autumn-2021_en" TargetMode="External"/><Relationship Id="rId122" Type="http://schemas.openxmlformats.org/officeDocument/2006/relationships/hyperlink" Target="javascript:void(0)" TargetMode="External"/><Relationship Id="rId143" Type="http://schemas.openxmlformats.org/officeDocument/2006/relationships/hyperlink" Target="https://www.ecdc.europa.eu/en/news-events/ecdc-statement-risk-very-high-covid-19-burden-unless-public-health-measures-are-applied"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https://eur-lex.europa.eu/legal-content/RO/TXT/?uri=OJ%3AJOC_2020_091_I_000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commission/presscorner/detail/ro/ip_21_5267" TargetMode="External"/><Relationship Id="rId26" Type="http://schemas.openxmlformats.org/officeDocument/2006/relationships/hyperlink" Target="https://www.fonduri-structurale.ro/stiri/27211/noua-masura-3-finantari-de-pana-la-1-milion-de-euro-pentru-immuri-imobilele-raman-eligib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58E38-257E-4869-B3C4-DBA8F7D6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147</TotalTime>
  <Pages>33</Pages>
  <Words>20221</Words>
  <Characters>117283</Characters>
  <Application>Microsoft Office Word</Application>
  <DocSecurity>0</DocSecurity>
  <Lines>977</Lines>
  <Paragraphs>274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137230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8</cp:revision>
  <cp:lastPrinted>2021-12-02T09:11:00Z</cp:lastPrinted>
  <dcterms:created xsi:type="dcterms:W3CDTF">2021-12-02T06:32:00Z</dcterms:created>
  <dcterms:modified xsi:type="dcterms:W3CDTF">2021-12-02T09:11:00Z</dcterms:modified>
</cp:coreProperties>
</file>